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93D7E" w14:textId="62339A9C" w:rsidR="008235C1" w:rsidRPr="00BB48EE" w:rsidRDefault="00AE2674" w:rsidP="00265F3F">
      <w:pPr>
        <w:tabs>
          <w:tab w:val="left" w:pos="4536"/>
        </w:tabs>
        <w:spacing w:line="360" w:lineRule="auto"/>
        <w:jc w:val="right"/>
        <w:rPr>
          <w:rFonts w:ascii="Arial" w:eastAsia="Times New Roman" w:hAnsi="Arial"/>
          <w:sz w:val="19"/>
          <w:szCs w:val="19"/>
        </w:rPr>
      </w:pPr>
      <w:r w:rsidRPr="00BB48EE">
        <w:rPr>
          <w:rFonts w:ascii="Arial" w:eastAsia="Times New Roman" w:hAnsi="Arial"/>
          <w:sz w:val="19"/>
          <w:szCs w:val="19"/>
        </w:rPr>
        <w:t>………………..</w:t>
      </w:r>
      <w:r w:rsidR="00CA1BD9" w:rsidRPr="00BB48EE">
        <w:rPr>
          <w:rFonts w:ascii="Arial" w:eastAsia="Times New Roman" w:hAnsi="Arial"/>
          <w:sz w:val="19"/>
          <w:szCs w:val="19"/>
        </w:rPr>
        <w:t xml:space="preserve">, </w:t>
      </w:r>
      <w:r w:rsidR="00286BE4" w:rsidRPr="00BB48EE">
        <w:rPr>
          <w:rFonts w:ascii="Arial" w:eastAsia="Times New Roman" w:hAnsi="Arial"/>
          <w:sz w:val="19"/>
          <w:szCs w:val="19"/>
        </w:rPr>
        <w:t>2024</w:t>
      </w:r>
      <w:r w:rsidR="00CA1BD9" w:rsidRPr="00BB48EE">
        <w:rPr>
          <w:rFonts w:ascii="Arial" w:eastAsia="Times New Roman" w:hAnsi="Arial"/>
          <w:sz w:val="19"/>
          <w:szCs w:val="19"/>
        </w:rPr>
        <w:t xml:space="preserve"> roku</w:t>
      </w:r>
    </w:p>
    <w:p w14:paraId="64D18B30" w14:textId="77777777" w:rsidR="000E3EC0" w:rsidRPr="00BB48EE" w:rsidRDefault="000E3EC0" w:rsidP="00265F3F">
      <w:pPr>
        <w:tabs>
          <w:tab w:val="left" w:pos="4536"/>
        </w:tabs>
        <w:spacing w:line="360" w:lineRule="auto"/>
        <w:jc w:val="right"/>
        <w:rPr>
          <w:rFonts w:ascii="Arial" w:eastAsia="Times New Roman" w:hAnsi="Arial"/>
          <w:sz w:val="19"/>
          <w:szCs w:val="19"/>
        </w:rPr>
      </w:pPr>
    </w:p>
    <w:p w14:paraId="09E4406C" w14:textId="56A135FA" w:rsidR="00E721E1" w:rsidRPr="00BB48EE" w:rsidRDefault="00E721E1" w:rsidP="00265F3F">
      <w:pPr>
        <w:tabs>
          <w:tab w:val="left" w:pos="4536"/>
        </w:tabs>
        <w:spacing w:line="360" w:lineRule="auto"/>
        <w:ind w:left="4536"/>
        <w:rPr>
          <w:rFonts w:ascii="Arial" w:eastAsia="Times New Roman" w:hAnsi="Arial"/>
          <w:b/>
          <w:sz w:val="19"/>
          <w:szCs w:val="19"/>
        </w:rPr>
      </w:pPr>
      <w:r w:rsidRPr="00BB48EE">
        <w:rPr>
          <w:rFonts w:ascii="Arial" w:eastAsia="Times New Roman" w:hAnsi="Arial"/>
          <w:b/>
          <w:sz w:val="19"/>
          <w:szCs w:val="19"/>
        </w:rPr>
        <w:t xml:space="preserve">SĄD OKRĘGOWY W </w:t>
      </w:r>
      <w:r w:rsidR="00F254C5" w:rsidRPr="00BB48EE">
        <w:rPr>
          <w:rFonts w:ascii="Arial" w:eastAsia="Times New Roman" w:hAnsi="Arial"/>
          <w:b/>
          <w:sz w:val="19"/>
          <w:szCs w:val="19"/>
        </w:rPr>
        <w:t>…………….</w:t>
      </w:r>
    </w:p>
    <w:p w14:paraId="6B1FAAB6" w14:textId="6A26723A" w:rsidR="00E721E1" w:rsidRPr="00BB48EE" w:rsidRDefault="00E721E1" w:rsidP="00265F3F">
      <w:pPr>
        <w:tabs>
          <w:tab w:val="left" w:pos="4536"/>
        </w:tabs>
        <w:spacing w:line="360" w:lineRule="auto"/>
        <w:ind w:left="4536"/>
        <w:rPr>
          <w:rFonts w:ascii="Arial" w:eastAsia="Times New Roman" w:hAnsi="Arial"/>
          <w:b/>
          <w:sz w:val="19"/>
          <w:szCs w:val="19"/>
        </w:rPr>
      </w:pPr>
      <w:r w:rsidRPr="00BB48EE">
        <w:rPr>
          <w:rFonts w:ascii="Arial" w:eastAsia="Times New Roman" w:hAnsi="Arial"/>
          <w:b/>
          <w:sz w:val="19"/>
          <w:szCs w:val="19"/>
        </w:rPr>
        <w:t>WYDZIAŁ II KARNY</w:t>
      </w:r>
    </w:p>
    <w:p w14:paraId="5FF9101B" w14:textId="28866BE1" w:rsidR="00E721E1" w:rsidRPr="00BB48EE" w:rsidRDefault="00E721E1" w:rsidP="00265F3F">
      <w:pPr>
        <w:tabs>
          <w:tab w:val="left" w:pos="4536"/>
        </w:tabs>
        <w:spacing w:line="360" w:lineRule="auto"/>
        <w:ind w:left="4536"/>
        <w:rPr>
          <w:rFonts w:ascii="Arial" w:eastAsia="Times New Roman" w:hAnsi="Arial"/>
          <w:bCs/>
          <w:sz w:val="19"/>
          <w:szCs w:val="19"/>
        </w:rPr>
      </w:pPr>
      <w:r w:rsidRPr="00BB48EE">
        <w:rPr>
          <w:rFonts w:ascii="Arial" w:eastAsia="Times New Roman" w:hAnsi="Arial"/>
          <w:bCs/>
          <w:sz w:val="19"/>
          <w:szCs w:val="19"/>
        </w:rPr>
        <w:t>za pośrednictwem:</w:t>
      </w:r>
    </w:p>
    <w:p w14:paraId="44AE5D0A" w14:textId="6A416800" w:rsidR="00E721E1" w:rsidRPr="00BB48EE" w:rsidRDefault="00E721E1" w:rsidP="00265F3F">
      <w:pPr>
        <w:tabs>
          <w:tab w:val="left" w:pos="4536"/>
        </w:tabs>
        <w:spacing w:line="360" w:lineRule="auto"/>
        <w:rPr>
          <w:rFonts w:ascii="Arial" w:eastAsia="Times New Roman" w:hAnsi="Arial"/>
          <w:b/>
          <w:sz w:val="19"/>
          <w:szCs w:val="19"/>
        </w:rPr>
      </w:pPr>
      <w:r w:rsidRPr="00BB48EE">
        <w:rPr>
          <w:rFonts w:ascii="Arial" w:eastAsia="Times New Roman" w:hAnsi="Arial"/>
          <w:bCs/>
          <w:sz w:val="19"/>
          <w:szCs w:val="19"/>
        </w:rPr>
        <w:tab/>
      </w:r>
    </w:p>
    <w:p w14:paraId="55D5A4CD" w14:textId="05C2986C" w:rsidR="000E3EC0" w:rsidRPr="00BB48EE" w:rsidRDefault="00E721E1" w:rsidP="00265F3F">
      <w:pPr>
        <w:tabs>
          <w:tab w:val="left" w:pos="4536"/>
        </w:tabs>
        <w:spacing w:line="360" w:lineRule="auto"/>
        <w:ind w:left="4536"/>
        <w:rPr>
          <w:rFonts w:ascii="Arial" w:eastAsia="Times New Roman" w:hAnsi="Arial"/>
          <w:b/>
          <w:sz w:val="19"/>
          <w:szCs w:val="19"/>
        </w:rPr>
      </w:pPr>
      <w:r w:rsidRPr="00BB48EE">
        <w:rPr>
          <w:rFonts w:ascii="Arial" w:eastAsia="Times New Roman" w:hAnsi="Arial"/>
          <w:b/>
          <w:sz w:val="19"/>
          <w:szCs w:val="19"/>
        </w:rPr>
        <w:t xml:space="preserve">SĄDU REJONOWEGO W </w:t>
      </w:r>
      <w:r w:rsidR="00F254C5" w:rsidRPr="00BB48EE">
        <w:rPr>
          <w:rFonts w:ascii="Arial" w:eastAsia="Times New Roman" w:hAnsi="Arial"/>
          <w:b/>
          <w:sz w:val="19"/>
          <w:szCs w:val="19"/>
        </w:rPr>
        <w:t>…………………..</w:t>
      </w:r>
    </w:p>
    <w:p w14:paraId="6CEBF6EA" w14:textId="761C92BA" w:rsidR="000E3EC0" w:rsidRPr="00BB48EE" w:rsidRDefault="000E3EC0" w:rsidP="00265F3F">
      <w:pPr>
        <w:tabs>
          <w:tab w:val="left" w:pos="4536"/>
        </w:tabs>
        <w:spacing w:line="360" w:lineRule="auto"/>
        <w:rPr>
          <w:rFonts w:ascii="Arial" w:eastAsia="Times New Roman" w:hAnsi="Arial"/>
          <w:sz w:val="19"/>
          <w:szCs w:val="19"/>
        </w:rPr>
      </w:pPr>
      <w:r w:rsidRPr="00BB48EE">
        <w:rPr>
          <w:rFonts w:ascii="Arial" w:eastAsia="Times New Roman" w:hAnsi="Arial"/>
          <w:b/>
          <w:sz w:val="19"/>
          <w:szCs w:val="19"/>
        </w:rPr>
        <w:tab/>
        <w:t>WYDZIAŁ II KARNY</w:t>
      </w:r>
      <w:r w:rsidRPr="00BB48EE">
        <w:rPr>
          <w:rFonts w:ascii="Arial" w:eastAsia="Times New Roman" w:hAnsi="Arial"/>
          <w:sz w:val="19"/>
          <w:szCs w:val="19"/>
        </w:rPr>
        <w:br/>
      </w:r>
      <w:r w:rsidRPr="00BB48EE">
        <w:rPr>
          <w:rFonts w:ascii="Arial" w:eastAsia="Times New Roman" w:hAnsi="Arial"/>
          <w:sz w:val="19"/>
          <w:szCs w:val="19"/>
        </w:rPr>
        <w:tab/>
      </w:r>
      <w:r w:rsidR="00286BE4" w:rsidRPr="00BB48EE">
        <w:rPr>
          <w:rFonts w:ascii="Arial" w:eastAsia="Times New Roman" w:hAnsi="Arial"/>
          <w:sz w:val="19"/>
          <w:szCs w:val="19"/>
        </w:rPr>
        <w:t>…………………..</w:t>
      </w:r>
    </w:p>
    <w:p w14:paraId="4D2AD91B" w14:textId="432B2E5F" w:rsidR="00286BE4" w:rsidRPr="00BB48EE" w:rsidRDefault="00286BE4" w:rsidP="00265F3F">
      <w:pPr>
        <w:tabs>
          <w:tab w:val="left" w:pos="4536"/>
        </w:tabs>
        <w:spacing w:line="360" w:lineRule="auto"/>
        <w:rPr>
          <w:rFonts w:ascii="Arial" w:eastAsia="Times New Roman" w:hAnsi="Arial"/>
          <w:sz w:val="19"/>
          <w:szCs w:val="19"/>
        </w:rPr>
      </w:pPr>
      <w:r w:rsidRPr="00BB48EE">
        <w:rPr>
          <w:rFonts w:ascii="Arial" w:eastAsia="Times New Roman" w:hAnsi="Arial"/>
          <w:sz w:val="19"/>
          <w:szCs w:val="19"/>
        </w:rPr>
        <w:tab/>
        <w:t>…………………..</w:t>
      </w:r>
    </w:p>
    <w:p w14:paraId="097E6CD6" w14:textId="77777777" w:rsidR="00A1371A" w:rsidRPr="00BB48EE" w:rsidRDefault="00A1371A" w:rsidP="00265F3F">
      <w:pPr>
        <w:tabs>
          <w:tab w:val="left" w:pos="1276"/>
        </w:tabs>
        <w:spacing w:line="360" w:lineRule="auto"/>
        <w:ind w:left="1440" w:hanging="1440"/>
        <w:jc w:val="both"/>
        <w:rPr>
          <w:rFonts w:ascii="Arial" w:eastAsia="Times New Roman" w:hAnsi="Arial"/>
          <w:b/>
          <w:bCs/>
          <w:sz w:val="19"/>
          <w:szCs w:val="19"/>
        </w:rPr>
      </w:pPr>
    </w:p>
    <w:p w14:paraId="5D16A2AC" w14:textId="0187A8CE" w:rsidR="000E3EC0" w:rsidRPr="00BB48EE" w:rsidRDefault="000E3EC0" w:rsidP="00265F3F">
      <w:pPr>
        <w:tabs>
          <w:tab w:val="left" w:pos="1276"/>
        </w:tabs>
        <w:spacing w:line="360" w:lineRule="auto"/>
        <w:ind w:left="1440" w:hanging="1440"/>
        <w:jc w:val="both"/>
        <w:rPr>
          <w:rFonts w:ascii="Arial" w:eastAsia="Times New Roman" w:hAnsi="Arial"/>
          <w:sz w:val="19"/>
          <w:szCs w:val="19"/>
        </w:rPr>
      </w:pPr>
      <w:r w:rsidRPr="00BB48EE">
        <w:rPr>
          <w:rFonts w:ascii="Arial" w:eastAsia="Times New Roman" w:hAnsi="Arial"/>
          <w:b/>
          <w:bCs/>
          <w:sz w:val="19"/>
          <w:szCs w:val="19"/>
        </w:rPr>
        <w:t>Sygn. akt</w:t>
      </w:r>
      <w:r w:rsidRPr="00BB48EE">
        <w:rPr>
          <w:rFonts w:ascii="Arial" w:eastAsia="Times New Roman" w:hAnsi="Arial"/>
          <w:sz w:val="19"/>
          <w:szCs w:val="19"/>
        </w:rPr>
        <w:t>:</w:t>
      </w:r>
      <w:r w:rsidRPr="00BB48EE">
        <w:rPr>
          <w:rFonts w:ascii="Arial" w:eastAsia="Times New Roman" w:hAnsi="Arial"/>
          <w:sz w:val="19"/>
          <w:szCs w:val="19"/>
        </w:rPr>
        <w:tab/>
      </w:r>
      <w:r w:rsidRPr="00BB48EE">
        <w:rPr>
          <w:rFonts w:ascii="Arial" w:eastAsia="Times New Roman" w:hAnsi="Arial"/>
          <w:sz w:val="19"/>
          <w:szCs w:val="19"/>
        </w:rPr>
        <w:tab/>
      </w:r>
      <w:r w:rsidRPr="00BB48EE">
        <w:rPr>
          <w:rFonts w:ascii="Arial" w:eastAsia="Times New Roman" w:hAnsi="Arial"/>
          <w:sz w:val="19"/>
          <w:szCs w:val="19"/>
        </w:rPr>
        <w:tab/>
        <w:t xml:space="preserve">II K </w:t>
      </w:r>
      <w:r w:rsidR="00F254C5" w:rsidRPr="00BB48EE">
        <w:rPr>
          <w:rFonts w:ascii="Arial" w:eastAsia="Times New Roman" w:hAnsi="Arial"/>
          <w:sz w:val="19"/>
          <w:szCs w:val="19"/>
        </w:rPr>
        <w:t>………………..</w:t>
      </w:r>
      <w:r w:rsidRPr="00BB48EE">
        <w:rPr>
          <w:rFonts w:ascii="Arial" w:eastAsia="Times New Roman" w:hAnsi="Arial"/>
          <w:sz w:val="19"/>
          <w:szCs w:val="19"/>
        </w:rPr>
        <w:t xml:space="preserve"> </w:t>
      </w:r>
    </w:p>
    <w:p w14:paraId="486B88C9" w14:textId="36EDC765" w:rsidR="000E3EC0" w:rsidRPr="00BB48EE" w:rsidRDefault="00CA1BD9" w:rsidP="00265F3F">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eastAsia="Times New Roman" w:hAnsi="Arial"/>
          <w:sz w:val="19"/>
          <w:szCs w:val="19"/>
        </w:rPr>
      </w:pPr>
      <w:r w:rsidRPr="00BB48EE">
        <w:rPr>
          <w:rFonts w:ascii="Arial" w:eastAsia="Times New Roman" w:hAnsi="Arial"/>
          <w:b/>
          <w:bCs/>
          <w:sz w:val="19"/>
          <w:szCs w:val="19"/>
        </w:rPr>
        <w:t>Skazana</w:t>
      </w:r>
      <w:r w:rsidR="000E3EC0" w:rsidRPr="00BB48EE">
        <w:rPr>
          <w:rFonts w:ascii="Arial" w:eastAsia="Times New Roman" w:hAnsi="Arial"/>
          <w:b/>
          <w:bCs/>
          <w:sz w:val="19"/>
          <w:szCs w:val="19"/>
        </w:rPr>
        <w:t>:</w:t>
      </w:r>
      <w:r w:rsidR="000E3EC0" w:rsidRPr="00BB48EE">
        <w:rPr>
          <w:rFonts w:ascii="Arial" w:eastAsia="Times New Roman" w:hAnsi="Arial"/>
          <w:b/>
          <w:bCs/>
          <w:sz w:val="19"/>
          <w:szCs w:val="19"/>
        </w:rPr>
        <w:tab/>
      </w:r>
      <w:r w:rsidR="000E3EC0" w:rsidRPr="00BB48EE">
        <w:rPr>
          <w:rFonts w:ascii="Arial" w:eastAsia="Times New Roman" w:hAnsi="Arial"/>
          <w:sz w:val="19"/>
          <w:szCs w:val="19"/>
        </w:rPr>
        <w:tab/>
      </w:r>
      <w:r w:rsidR="00F254C5" w:rsidRPr="00BB48EE">
        <w:rPr>
          <w:rFonts w:ascii="Arial" w:eastAsia="Times New Roman" w:hAnsi="Arial"/>
          <w:b/>
          <w:bCs/>
          <w:sz w:val="19"/>
          <w:szCs w:val="19"/>
        </w:rPr>
        <w:t>………………</w:t>
      </w:r>
      <w:r w:rsidR="000E3EC0" w:rsidRPr="00BB48EE">
        <w:rPr>
          <w:rFonts w:ascii="Arial" w:eastAsia="Times New Roman" w:hAnsi="Arial"/>
          <w:b/>
          <w:bCs/>
          <w:sz w:val="19"/>
          <w:szCs w:val="19"/>
        </w:rPr>
        <w:t xml:space="preserve">, </w:t>
      </w:r>
      <w:r w:rsidR="000E3EC0" w:rsidRPr="00BB48EE">
        <w:rPr>
          <w:rFonts w:ascii="Arial" w:eastAsia="Times New Roman" w:hAnsi="Arial"/>
          <w:sz w:val="19"/>
          <w:szCs w:val="19"/>
        </w:rPr>
        <w:t xml:space="preserve">adres w aktach </w:t>
      </w:r>
    </w:p>
    <w:p w14:paraId="606B5ADD" w14:textId="3A561AFC" w:rsidR="000E3EC0" w:rsidRPr="00BB48EE" w:rsidRDefault="000E3EC0" w:rsidP="00265F3F">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eastAsia="Times New Roman" w:hAnsi="Arial"/>
          <w:sz w:val="19"/>
          <w:szCs w:val="19"/>
        </w:rPr>
      </w:pPr>
      <w:r w:rsidRPr="00BB48EE">
        <w:rPr>
          <w:rFonts w:ascii="Arial" w:eastAsia="Times New Roman" w:hAnsi="Arial"/>
          <w:sz w:val="19"/>
          <w:szCs w:val="19"/>
        </w:rPr>
        <w:tab/>
      </w:r>
      <w:r w:rsidRPr="00BB48EE">
        <w:rPr>
          <w:rFonts w:ascii="Arial" w:eastAsia="Times New Roman" w:hAnsi="Arial"/>
          <w:sz w:val="19"/>
          <w:szCs w:val="19"/>
        </w:rPr>
        <w:tab/>
      </w:r>
      <w:r w:rsidRPr="00BB48EE">
        <w:rPr>
          <w:rFonts w:ascii="Arial" w:eastAsia="Times New Roman" w:hAnsi="Arial"/>
          <w:sz w:val="19"/>
          <w:szCs w:val="19"/>
        </w:rPr>
        <w:tab/>
        <w:t>występując</w:t>
      </w:r>
      <w:r w:rsidR="00E721E1" w:rsidRPr="00BB48EE">
        <w:rPr>
          <w:rFonts w:ascii="Arial" w:eastAsia="Times New Roman" w:hAnsi="Arial"/>
          <w:sz w:val="19"/>
          <w:szCs w:val="19"/>
        </w:rPr>
        <w:t>a</w:t>
      </w:r>
      <w:r w:rsidRPr="00BB48EE">
        <w:rPr>
          <w:rFonts w:ascii="Arial" w:eastAsia="Times New Roman" w:hAnsi="Arial"/>
          <w:sz w:val="19"/>
          <w:szCs w:val="19"/>
        </w:rPr>
        <w:t xml:space="preserve"> wraz z obrońcą </w:t>
      </w:r>
      <w:r w:rsidRPr="00BB48EE">
        <w:rPr>
          <w:rFonts w:ascii="Arial" w:eastAsia="Times New Roman" w:hAnsi="Arial"/>
          <w:b/>
          <w:bCs/>
          <w:sz w:val="19"/>
          <w:szCs w:val="19"/>
        </w:rPr>
        <w:t>adwokatem</w:t>
      </w:r>
      <w:r w:rsidRPr="00BB48EE">
        <w:rPr>
          <w:rFonts w:ascii="Arial" w:eastAsia="Times New Roman" w:hAnsi="Arial"/>
          <w:sz w:val="19"/>
          <w:szCs w:val="19"/>
        </w:rPr>
        <w:t xml:space="preserve"> </w:t>
      </w:r>
      <w:r w:rsidR="0051391E" w:rsidRPr="00BB48EE">
        <w:rPr>
          <w:rFonts w:ascii="Arial" w:eastAsia="Times New Roman" w:hAnsi="Arial"/>
          <w:b/>
          <w:bCs/>
          <w:sz w:val="19"/>
          <w:szCs w:val="19"/>
        </w:rPr>
        <w:t>…………..</w:t>
      </w:r>
    </w:p>
    <w:p w14:paraId="1189B3F1" w14:textId="3B108D52" w:rsidR="000E3EC0" w:rsidRPr="00BB48EE" w:rsidRDefault="000E3EC0" w:rsidP="00265F3F">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eastAsia="Times New Roman" w:hAnsi="Arial"/>
          <w:sz w:val="19"/>
          <w:szCs w:val="19"/>
        </w:rPr>
      </w:pPr>
      <w:r w:rsidRPr="00BB48EE">
        <w:rPr>
          <w:rFonts w:ascii="Arial" w:eastAsia="Times New Roman" w:hAnsi="Arial"/>
          <w:sz w:val="19"/>
          <w:szCs w:val="19"/>
        </w:rPr>
        <w:tab/>
      </w:r>
      <w:r w:rsidRPr="00BB48EE">
        <w:rPr>
          <w:rFonts w:ascii="Arial" w:eastAsia="Times New Roman" w:hAnsi="Arial"/>
          <w:sz w:val="19"/>
          <w:szCs w:val="19"/>
        </w:rPr>
        <w:tab/>
      </w:r>
      <w:r w:rsidRPr="00BB48EE">
        <w:rPr>
          <w:rFonts w:ascii="Arial" w:eastAsia="Times New Roman" w:hAnsi="Arial"/>
          <w:sz w:val="19"/>
          <w:szCs w:val="19"/>
        </w:rPr>
        <w:tab/>
        <w:t xml:space="preserve">adres do doręczeń: ul. </w:t>
      </w:r>
      <w:r w:rsidR="0051391E" w:rsidRPr="00BB48EE">
        <w:rPr>
          <w:rFonts w:ascii="Arial" w:eastAsia="Times New Roman" w:hAnsi="Arial"/>
          <w:sz w:val="19"/>
          <w:szCs w:val="19"/>
        </w:rPr>
        <w:t>………………………….</w:t>
      </w:r>
    </w:p>
    <w:p w14:paraId="6AC8EE5A" w14:textId="77777777" w:rsidR="000E3EC0" w:rsidRPr="00BB48EE" w:rsidRDefault="000E3EC0" w:rsidP="00265F3F">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eastAsia="Times New Roman" w:hAnsi="Arial"/>
          <w:sz w:val="19"/>
          <w:szCs w:val="19"/>
        </w:rPr>
      </w:pPr>
    </w:p>
    <w:p w14:paraId="5B054AA2" w14:textId="7CF90D0E" w:rsidR="00A1371A" w:rsidRPr="00BB48EE" w:rsidRDefault="00CA1BD9" w:rsidP="00265F3F">
      <w:pPr>
        <w:spacing w:line="360" w:lineRule="auto"/>
        <w:jc w:val="center"/>
        <w:rPr>
          <w:rFonts w:ascii="Arial" w:eastAsia="Times New Roman" w:hAnsi="Arial"/>
          <w:b/>
          <w:sz w:val="19"/>
          <w:szCs w:val="19"/>
        </w:rPr>
      </w:pPr>
      <w:r w:rsidRPr="00BB48EE">
        <w:rPr>
          <w:rFonts w:ascii="Arial" w:eastAsia="Times New Roman" w:hAnsi="Arial"/>
          <w:b/>
          <w:sz w:val="19"/>
          <w:szCs w:val="19"/>
        </w:rPr>
        <w:t xml:space="preserve">ZAŻALENIE </w:t>
      </w:r>
    </w:p>
    <w:p w14:paraId="7976BF54" w14:textId="71E7C6B4" w:rsidR="00CA1BD9" w:rsidRPr="00BB48EE" w:rsidRDefault="00CA1BD9" w:rsidP="00265F3F">
      <w:pPr>
        <w:spacing w:line="360" w:lineRule="auto"/>
        <w:jc w:val="center"/>
        <w:rPr>
          <w:rFonts w:ascii="Arial" w:eastAsia="Times New Roman" w:hAnsi="Arial"/>
          <w:b/>
          <w:sz w:val="19"/>
          <w:szCs w:val="19"/>
        </w:rPr>
      </w:pPr>
      <w:r w:rsidRPr="00BB48EE">
        <w:rPr>
          <w:rFonts w:ascii="Arial" w:eastAsia="Times New Roman" w:hAnsi="Arial"/>
          <w:b/>
          <w:sz w:val="19"/>
          <w:szCs w:val="19"/>
        </w:rPr>
        <w:t>na postanowienie w przedmiocie odmowy uwzględnienia</w:t>
      </w:r>
    </w:p>
    <w:p w14:paraId="63BECA85" w14:textId="4B4E28F0" w:rsidR="00CA1BD9" w:rsidRPr="00BB48EE" w:rsidRDefault="00CA1BD9" w:rsidP="00265F3F">
      <w:pPr>
        <w:spacing w:line="360" w:lineRule="auto"/>
        <w:jc w:val="center"/>
        <w:rPr>
          <w:rFonts w:ascii="Arial" w:eastAsia="Times New Roman" w:hAnsi="Arial"/>
          <w:b/>
          <w:sz w:val="19"/>
          <w:szCs w:val="19"/>
        </w:rPr>
      </w:pPr>
      <w:r w:rsidRPr="00BB48EE">
        <w:rPr>
          <w:rFonts w:ascii="Arial" w:eastAsia="Times New Roman" w:hAnsi="Arial"/>
          <w:b/>
          <w:sz w:val="19"/>
          <w:szCs w:val="19"/>
        </w:rPr>
        <w:t>wniosku o uzupełnienie postanowienia</w:t>
      </w:r>
    </w:p>
    <w:p w14:paraId="1ABCF99B" w14:textId="77777777" w:rsidR="000E3EC0" w:rsidRPr="00BB48EE" w:rsidRDefault="000E3EC0" w:rsidP="00265F3F">
      <w:pPr>
        <w:spacing w:line="360" w:lineRule="auto"/>
        <w:rPr>
          <w:rFonts w:ascii="Arial" w:eastAsia="Times New Roman" w:hAnsi="Arial"/>
          <w:b/>
          <w:sz w:val="19"/>
          <w:szCs w:val="19"/>
        </w:rPr>
      </w:pPr>
    </w:p>
    <w:p w14:paraId="21E071F4" w14:textId="2EA78804" w:rsidR="00CA1BD9" w:rsidRPr="00BB48EE" w:rsidRDefault="000E3EC0" w:rsidP="00265F3F">
      <w:pPr>
        <w:spacing w:line="360" w:lineRule="auto"/>
        <w:jc w:val="both"/>
        <w:rPr>
          <w:rFonts w:ascii="Arial" w:eastAsia="Times New Roman" w:hAnsi="Arial"/>
          <w:sz w:val="19"/>
          <w:szCs w:val="19"/>
        </w:rPr>
      </w:pPr>
      <w:r w:rsidRPr="00BB48EE">
        <w:rPr>
          <w:rFonts w:ascii="Arial" w:eastAsia="Times New Roman" w:hAnsi="Arial"/>
          <w:sz w:val="19"/>
          <w:szCs w:val="19"/>
        </w:rPr>
        <w:t xml:space="preserve">Działając </w:t>
      </w:r>
      <w:r w:rsidR="00A1371A" w:rsidRPr="00BB48EE">
        <w:rPr>
          <w:rFonts w:ascii="Arial" w:eastAsia="Times New Roman" w:hAnsi="Arial"/>
          <w:sz w:val="19"/>
          <w:szCs w:val="19"/>
        </w:rPr>
        <w:t xml:space="preserve">imieniem własnym, </w:t>
      </w:r>
      <w:r w:rsidR="00CA1BD9" w:rsidRPr="00BB48EE">
        <w:rPr>
          <w:rFonts w:ascii="Arial" w:eastAsia="Times New Roman" w:hAnsi="Arial"/>
          <w:sz w:val="19"/>
          <w:szCs w:val="19"/>
        </w:rPr>
        <w:t xml:space="preserve">w związku z pełnieniem funkcji obrońcy z urzędu dla </w:t>
      </w:r>
      <w:r w:rsidR="00F254C5" w:rsidRPr="00BB48EE">
        <w:rPr>
          <w:rFonts w:ascii="Arial" w:eastAsia="Times New Roman" w:hAnsi="Arial"/>
          <w:sz w:val="19"/>
          <w:szCs w:val="19"/>
        </w:rPr>
        <w:t>…………….</w:t>
      </w:r>
      <w:r w:rsidR="00CA1BD9" w:rsidRPr="00BB48EE">
        <w:rPr>
          <w:rFonts w:ascii="Arial" w:eastAsia="Times New Roman" w:hAnsi="Arial"/>
          <w:b/>
          <w:bCs/>
          <w:sz w:val="19"/>
          <w:szCs w:val="19"/>
        </w:rPr>
        <w:t xml:space="preserve"> </w:t>
      </w:r>
      <w:r w:rsidR="00CA1BD9" w:rsidRPr="00BB48EE">
        <w:rPr>
          <w:rFonts w:ascii="Arial" w:eastAsia="Times New Roman" w:hAnsi="Arial"/>
          <w:b/>
          <w:bCs/>
          <w:sz w:val="19"/>
          <w:szCs w:val="19"/>
        </w:rPr>
        <w:br/>
      </w:r>
      <w:r w:rsidR="00CA1BD9" w:rsidRPr="00BB48EE">
        <w:rPr>
          <w:rFonts w:ascii="Arial" w:eastAsia="Times New Roman" w:hAnsi="Arial"/>
          <w:sz w:val="19"/>
          <w:szCs w:val="19"/>
        </w:rPr>
        <w:t xml:space="preserve">w postępowaniu prowadzonym przez Sądem Rejonowym w </w:t>
      </w:r>
      <w:r w:rsidR="00F254C5" w:rsidRPr="00BB48EE">
        <w:rPr>
          <w:rFonts w:ascii="Arial" w:eastAsia="Times New Roman" w:hAnsi="Arial"/>
          <w:sz w:val="19"/>
          <w:szCs w:val="19"/>
        </w:rPr>
        <w:t>………………</w:t>
      </w:r>
      <w:r w:rsidR="00CA1BD9" w:rsidRPr="00BB48EE">
        <w:rPr>
          <w:rFonts w:ascii="Arial" w:eastAsia="Times New Roman" w:hAnsi="Arial"/>
          <w:sz w:val="19"/>
          <w:szCs w:val="19"/>
        </w:rPr>
        <w:t xml:space="preserve"> pod sygnaturą II K </w:t>
      </w:r>
      <w:r w:rsidR="00F254C5" w:rsidRPr="00BB48EE">
        <w:rPr>
          <w:rFonts w:ascii="Arial" w:eastAsia="Times New Roman" w:hAnsi="Arial"/>
          <w:sz w:val="19"/>
          <w:szCs w:val="19"/>
        </w:rPr>
        <w:t>………….</w:t>
      </w:r>
      <w:r w:rsidR="00CA1BD9" w:rsidRPr="00BB48EE">
        <w:rPr>
          <w:rFonts w:ascii="Arial" w:eastAsia="Times New Roman" w:hAnsi="Arial"/>
          <w:sz w:val="19"/>
          <w:szCs w:val="19"/>
        </w:rPr>
        <w:t xml:space="preserve">, </w:t>
      </w:r>
      <w:r w:rsidR="00CA1BD9" w:rsidRPr="00BB48EE">
        <w:rPr>
          <w:rFonts w:ascii="Arial" w:eastAsia="Times New Roman" w:hAnsi="Arial"/>
          <w:sz w:val="19"/>
          <w:szCs w:val="19"/>
        </w:rPr>
        <w:br/>
        <w:t>w oparciu o art. 626 par. 3 KPK w zw. z art. 460 KPK,</w:t>
      </w:r>
      <w:r w:rsidR="00CA1BD9" w:rsidRPr="00BB48EE">
        <w:rPr>
          <w:rFonts w:ascii="Arial" w:eastAsia="Times New Roman" w:hAnsi="Arial"/>
          <w:b/>
          <w:bCs/>
          <w:sz w:val="19"/>
          <w:szCs w:val="19"/>
        </w:rPr>
        <w:t xml:space="preserve"> zaskarżam</w:t>
      </w:r>
      <w:r w:rsidR="00CA1BD9" w:rsidRPr="00BB48EE">
        <w:rPr>
          <w:rFonts w:ascii="Arial" w:eastAsia="Times New Roman" w:hAnsi="Arial"/>
          <w:sz w:val="19"/>
          <w:szCs w:val="19"/>
        </w:rPr>
        <w:t xml:space="preserve"> </w:t>
      </w:r>
      <w:r w:rsidR="00CA1BD9" w:rsidRPr="00BB48EE">
        <w:rPr>
          <w:rFonts w:ascii="Arial" w:eastAsia="Times New Roman" w:hAnsi="Arial"/>
          <w:b/>
          <w:bCs/>
          <w:sz w:val="19"/>
          <w:szCs w:val="19"/>
        </w:rPr>
        <w:t>w całości</w:t>
      </w:r>
      <w:r w:rsidR="00CA1BD9" w:rsidRPr="00BB48EE">
        <w:rPr>
          <w:rFonts w:ascii="Arial" w:eastAsia="Times New Roman" w:hAnsi="Arial"/>
          <w:sz w:val="19"/>
          <w:szCs w:val="19"/>
        </w:rPr>
        <w:t xml:space="preserve"> postanowienie Sadu Rejonowego w </w:t>
      </w:r>
      <w:r w:rsidR="00F254C5" w:rsidRPr="00BB48EE">
        <w:rPr>
          <w:rFonts w:ascii="Arial" w:eastAsia="Times New Roman" w:hAnsi="Arial"/>
          <w:sz w:val="19"/>
          <w:szCs w:val="19"/>
        </w:rPr>
        <w:t>………………</w:t>
      </w:r>
      <w:r w:rsidR="00CA1BD9" w:rsidRPr="00BB48EE">
        <w:rPr>
          <w:rFonts w:ascii="Arial" w:eastAsia="Times New Roman" w:hAnsi="Arial"/>
          <w:sz w:val="19"/>
          <w:szCs w:val="19"/>
        </w:rPr>
        <w:t xml:space="preserve"> z dnia </w:t>
      </w:r>
      <w:r w:rsidR="00F254C5" w:rsidRPr="00BB48EE">
        <w:rPr>
          <w:rFonts w:ascii="Arial" w:eastAsia="Times New Roman" w:hAnsi="Arial"/>
          <w:sz w:val="19"/>
          <w:szCs w:val="19"/>
        </w:rPr>
        <w:t>………………..</w:t>
      </w:r>
      <w:r w:rsidR="00CA1BD9" w:rsidRPr="00BB48EE">
        <w:rPr>
          <w:rFonts w:ascii="Arial" w:eastAsia="Times New Roman" w:hAnsi="Arial"/>
          <w:sz w:val="19"/>
          <w:szCs w:val="19"/>
        </w:rPr>
        <w:t xml:space="preserve">, doręczone obrońcy w dniu </w:t>
      </w:r>
      <w:r w:rsidR="00F254C5" w:rsidRPr="00BB48EE">
        <w:rPr>
          <w:rFonts w:ascii="Arial" w:eastAsia="Times New Roman" w:hAnsi="Arial"/>
          <w:sz w:val="19"/>
          <w:szCs w:val="19"/>
        </w:rPr>
        <w:t>………………..</w:t>
      </w:r>
    </w:p>
    <w:p w14:paraId="4404B50F" w14:textId="03A2DEB7" w:rsidR="00CA1BD9" w:rsidRPr="00BB48EE" w:rsidRDefault="00CA1BD9" w:rsidP="00265F3F">
      <w:pPr>
        <w:spacing w:line="360" w:lineRule="auto"/>
        <w:jc w:val="both"/>
        <w:rPr>
          <w:rFonts w:ascii="Arial" w:eastAsia="Times New Roman" w:hAnsi="Arial"/>
          <w:sz w:val="19"/>
          <w:szCs w:val="19"/>
        </w:rPr>
      </w:pPr>
    </w:p>
    <w:p w14:paraId="1A46B2ED" w14:textId="1ED044FC" w:rsidR="00CA1BD9" w:rsidRPr="00BB48EE" w:rsidRDefault="00CA1BD9" w:rsidP="00265F3F">
      <w:pPr>
        <w:spacing w:line="360" w:lineRule="auto"/>
        <w:jc w:val="both"/>
        <w:rPr>
          <w:rFonts w:ascii="Arial" w:eastAsia="Times New Roman" w:hAnsi="Arial"/>
          <w:sz w:val="19"/>
          <w:szCs w:val="19"/>
        </w:rPr>
      </w:pPr>
      <w:r w:rsidRPr="00BB48EE">
        <w:rPr>
          <w:rFonts w:ascii="Arial" w:eastAsia="Times New Roman" w:hAnsi="Arial"/>
          <w:sz w:val="19"/>
          <w:szCs w:val="19"/>
        </w:rPr>
        <w:t xml:space="preserve">Zaskarżonemu postanowieniu </w:t>
      </w:r>
      <w:r w:rsidRPr="00BB48EE">
        <w:rPr>
          <w:rFonts w:ascii="Arial" w:eastAsia="Times New Roman" w:hAnsi="Arial"/>
          <w:b/>
          <w:bCs/>
          <w:sz w:val="19"/>
          <w:szCs w:val="19"/>
        </w:rPr>
        <w:t>zarzucam:</w:t>
      </w:r>
    </w:p>
    <w:p w14:paraId="36F32E05" w14:textId="6BA8AC89" w:rsidR="00CA1BD9" w:rsidRPr="00BB48EE" w:rsidRDefault="00CA1BD9" w:rsidP="00265F3F">
      <w:pPr>
        <w:pStyle w:val="Akapitzlist"/>
        <w:numPr>
          <w:ilvl w:val="0"/>
          <w:numId w:val="20"/>
        </w:numPr>
        <w:spacing w:line="360" w:lineRule="auto"/>
        <w:jc w:val="both"/>
        <w:rPr>
          <w:rFonts w:ascii="Arial" w:eastAsia="Times New Roman" w:hAnsi="Arial" w:cs="Arial"/>
          <w:b/>
          <w:bCs/>
          <w:sz w:val="19"/>
          <w:szCs w:val="19"/>
        </w:rPr>
      </w:pPr>
      <w:r w:rsidRPr="00BB48EE">
        <w:rPr>
          <w:rFonts w:ascii="Arial" w:eastAsia="Times New Roman" w:hAnsi="Arial" w:cs="Arial"/>
          <w:b/>
          <w:bCs/>
          <w:sz w:val="19"/>
          <w:szCs w:val="19"/>
        </w:rPr>
        <w:t xml:space="preserve">obrazę przepisów postępowania, </w:t>
      </w:r>
      <w:r w:rsidRPr="00BB48EE">
        <w:rPr>
          <w:rFonts w:ascii="Arial" w:eastAsia="Times New Roman" w:hAnsi="Arial" w:cs="Arial"/>
          <w:sz w:val="19"/>
          <w:szCs w:val="19"/>
        </w:rPr>
        <w:t>a to</w:t>
      </w:r>
      <w:r w:rsidRPr="00BB48EE">
        <w:rPr>
          <w:rFonts w:ascii="Arial" w:eastAsia="Times New Roman" w:hAnsi="Arial" w:cs="Arial"/>
          <w:b/>
          <w:bCs/>
          <w:sz w:val="19"/>
          <w:szCs w:val="19"/>
        </w:rPr>
        <w:t xml:space="preserve"> art. 626 </w:t>
      </w:r>
      <w:r w:rsidRPr="00BB48EE">
        <w:rPr>
          <w:rFonts w:ascii="Arial" w:eastAsia="Times New Roman" w:hAnsi="Arial" w:cs="Arial"/>
          <w:sz w:val="19"/>
          <w:szCs w:val="19"/>
        </w:rPr>
        <w:t xml:space="preserve">§ </w:t>
      </w:r>
      <w:r w:rsidRPr="00BB48EE">
        <w:rPr>
          <w:rFonts w:ascii="Arial" w:eastAsia="Times New Roman" w:hAnsi="Arial" w:cs="Arial"/>
          <w:b/>
          <w:bCs/>
          <w:sz w:val="19"/>
          <w:szCs w:val="19"/>
        </w:rPr>
        <w:t xml:space="preserve">2 kodeksu postępowania karnego </w:t>
      </w:r>
      <w:r w:rsidRPr="00BB48EE">
        <w:rPr>
          <w:rFonts w:ascii="Arial" w:eastAsia="Times New Roman" w:hAnsi="Arial" w:cs="Arial"/>
          <w:sz w:val="19"/>
          <w:szCs w:val="19"/>
        </w:rPr>
        <w:t xml:space="preserve">poprzez </w:t>
      </w:r>
      <w:r w:rsidRPr="00BB48EE">
        <w:rPr>
          <w:rFonts w:ascii="Arial" w:eastAsia="Times New Roman" w:hAnsi="Arial" w:cs="Arial"/>
          <w:sz w:val="19"/>
          <w:szCs w:val="19"/>
        </w:rPr>
        <w:br/>
        <w:t>jego nieprawidłowe zastosowanie i błędne przyjęcie, że wniosek obrońcy o uzupełnienie postanowienia kosztowego, które to postanowienie zostało oparte na przepisie rangi podustawowej</w:t>
      </w:r>
      <w:r w:rsidR="00FF0ABF" w:rsidRPr="00BB48EE">
        <w:rPr>
          <w:rFonts w:ascii="Arial" w:eastAsia="Times New Roman" w:hAnsi="Arial" w:cs="Arial"/>
          <w:sz w:val="19"/>
          <w:szCs w:val="19"/>
        </w:rPr>
        <w:t xml:space="preserve"> (tj. §17 ust. 1 pkt. 2 oraz  §17 ust. 2 pkt. 3 rozporządzenia Ministra Sprawiedliwości z dnia 3 października 2016 roku w sprawie ponoszenia przez Skarb Państwa kosztów nieopłaconej pomocy prawnej udzielonej przez adwokata z urzędu),</w:t>
      </w:r>
      <w:r w:rsidRPr="00BB48EE">
        <w:rPr>
          <w:rFonts w:ascii="Arial" w:eastAsia="Times New Roman" w:hAnsi="Arial" w:cs="Arial"/>
          <w:sz w:val="19"/>
          <w:szCs w:val="19"/>
        </w:rPr>
        <w:t xml:space="preserve"> uznanym następczo za sprzeczny </w:t>
      </w:r>
      <w:r w:rsidR="00FF0ABF" w:rsidRPr="00BB48EE">
        <w:rPr>
          <w:rFonts w:ascii="Arial" w:eastAsia="Times New Roman" w:hAnsi="Arial" w:cs="Arial"/>
          <w:sz w:val="19"/>
          <w:szCs w:val="19"/>
        </w:rPr>
        <w:br/>
      </w:r>
      <w:r w:rsidRPr="00BB48EE">
        <w:rPr>
          <w:rFonts w:ascii="Arial" w:eastAsia="Times New Roman" w:hAnsi="Arial" w:cs="Arial"/>
          <w:sz w:val="19"/>
          <w:szCs w:val="19"/>
        </w:rPr>
        <w:t>z Konstytucją</w:t>
      </w:r>
      <w:r w:rsidR="00FF0ABF" w:rsidRPr="00BB48EE">
        <w:rPr>
          <w:rFonts w:ascii="Arial" w:eastAsia="Times New Roman" w:hAnsi="Arial" w:cs="Arial"/>
          <w:sz w:val="19"/>
          <w:szCs w:val="19"/>
        </w:rPr>
        <w:t xml:space="preserve"> Rzeczypospolitej Polskiej</w:t>
      </w:r>
      <w:r w:rsidRPr="00BB48EE">
        <w:rPr>
          <w:rFonts w:ascii="Arial" w:eastAsia="Times New Roman" w:hAnsi="Arial" w:cs="Arial"/>
          <w:sz w:val="19"/>
          <w:szCs w:val="19"/>
        </w:rPr>
        <w:t>, który to wniosek został przez obrońcę złożony po publikacji w dzienniku ustaw RP wyroku Trybunału Konstytucyjnego z dnia  20 grudnia 2022 roku (SK 78/21) stwierdzającego sprzeczność tej normy, nie zasługuje na uwzględnienie,</w:t>
      </w:r>
      <w:r w:rsidR="00FF0ABF" w:rsidRPr="00BB48EE">
        <w:rPr>
          <w:rFonts w:ascii="Arial" w:eastAsia="Times New Roman" w:hAnsi="Arial" w:cs="Arial"/>
          <w:sz w:val="19"/>
          <w:szCs w:val="19"/>
        </w:rPr>
        <w:t xml:space="preserve"> </w:t>
      </w:r>
      <w:r w:rsidRPr="00BB48EE">
        <w:rPr>
          <w:rFonts w:ascii="Arial" w:eastAsia="Times New Roman" w:hAnsi="Arial" w:cs="Arial"/>
          <w:b/>
          <w:bCs/>
          <w:sz w:val="19"/>
          <w:szCs w:val="19"/>
        </w:rPr>
        <w:t xml:space="preserve">podczas gdy przepis </w:t>
      </w:r>
      <w:r w:rsidR="00FF0ABF" w:rsidRPr="00BB48EE">
        <w:rPr>
          <w:rFonts w:ascii="Arial" w:eastAsia="Times New Roman" w:hAnsi="Arial" w:cs="Arial"/>
          <w:b/>
          <w:bCs/>
          <w:sz w:val="19"/>
          <w:szCs w:val="19"/>
        </w:rPr>
        <w:br/>
      </w:r>
      <w:r w:rsidRPr="00BB48EE">
        <w:rPr>
          <w:rFonts w:ascii="Arial" w:eastAsia="Times New Roman" w:hAnsi="Arial" w:cs="Arial"/>
          <w:b/>
          <w:bCs/>
          <w:sz w:val="19"/>
          <w:szCs w:val="19"/>
        </w:rPr>
        <w:t xml:space="preserve">art. 626 § 2 kodeksu postępowania karnego </w:t>
      </w:r>
      <w:r w:rsidR="00FF0ABF" w:rsidRPr="00BB48EE">
        <w:rPr>
          <w:rFonts w:ascii="Arial" w:eastAsia="Times New Roman" w:hAnsi="Arial" w:cs="Arial"/>
          <w:b/>
          <w:bCs/>
          <w:sz w:val="19"/>
          <w:szCs w:val="19"/>
        </w:rPr>
        <w:t xml:space="preserve">wprost </w:t>
      </w:r>
      <w:r w:rsidRPr="00BB48EE">
        <w:rPr>
          <w:rFonts w:ascii="Arial" w:eastAsia="Times New Roman" w:hAnsi="Arial" w:cs="Arial"/>
          <w:b/>
          <w:bCs/>
          <w:sz w:val="19"/>
          <w:szCs w:val="19"/>
        </w:rPr>
        <w:t xml:space="preserve">stanowi o możliwości </w:t>
      </w:r>
      <w:r w:rsidR="00FF0ABF" w:rsidRPr="00BB48EE">
        <w:rPr>
          <w:rFonts w:ascii="Arial" w:eastAsia="Times New Roman" w:hAnsi="Arial" w:cs="Arial"/>
          <w:b/>
          <w:bCs/>
          <w:sz w:val="19"/>
          <w:szCs w:val="19"/>
        </w:rPr>
        <w:t>dodatkowego ustalenia wysokości tych kosztów, wówczas gdy nie były one znane Sądowi I instancji, a zatem również wówczas, gdy pierwotne postanowienie kosztowe opierało się o przepisy, które następczo zostały uznane za bezprawne przez sąd konstytucyjny;</w:t>
      </w:r>
    </w:p>
    <w:p w14:paraId="2E562CD3" w14:textId="13A6C243" w:rsidR="00FF0ABF" w:rsidRPr="00BB48EE" w:rsidRDefault="00FF0ABF" w:rsidP="00265F3F">
      <w:pPr>
        <w:pStyle w:val="Akapitzlist"/>
        <w:numPr>
          <w:ilvl w:val="0"/>
          <w:numId w:val="20"/>
        </w:numPr>
        <w:spacing w:line="360" w:lineRule="auto"/>
        <w:jc w:val="both"/>
        <w:rPr>
          <w:rFonts w:ascii="Arial" w:eastAsia="Times New Roman" w:hAnsi="Arial" w:cs="Arial"/>
          <w:b/>
          <w:bCs/>
          <w:sz w:val="19"/>
          <w:szCs w:val="19"/>
        </w:rPr>
      </w:pPr>
      <w:r w:rsidRPr="00BB48EE">
        <w:rPr>
          <w:rFonts w:ascii="Arial" w:eastAsia="Times New Roman" w:hAnsi="Arial" w:cs="Arial"/>
          <w:b/>
          <w:bCs/>
          <w:sz w:val="19"/>
          <w:szCs w:val="19"/>
        </w:rPr>
        <w:t>obrazę przepisów postępowania</w:t>
      </w:r>
      <w:r w:rsidRPr="00BB48EE">
        <w:rPr>
          <w:rFonts w:ascii="Arial" w:eastAsia="Times New Roman" w:hAnsi="Arial" w:cs="Arial"/>
          <w:sz w:val="19"/>
          <w:szCs w:val="19"/>
        </w:rPr>
        <w:t xml:space="preserve">, a to </w:t>
      </w:r>
      <w:r w:rsidRPr="00BB48EE">
        <w:rPr>
          <w:rFonts w:ascii="Arial" w:eastAsia="Times New Roman" w:hAnsi="Arial" w:cs="Arial"/>
          <w:b/>
          <w:bCs/>
          <w:sz w:val="19"/>
          <w:szCs w:val="19"/>
        </w:rPr>
        <w:t xml:space="preserve">art. 626 </w:t>
      </w:r>
      <w:r w:rsidRPr="00BB48EE">
        <w:rPr>
          <w:rFonts w:ascii="Arial" w:eastAsia="Times New Roman" w:hAnsi="Arial" w:cs="Arial"/>
          <w:sz w:val="19"/>
          <w:szCs w:val="19"/>
        </w:rPr>
        <w:t xml:space="preserve">§ </w:t>
      </w:r>
      <w:r w:rsidRPr="00BB48EE">
        <w:rPr>
          <w:rFonts w:ascii="Arial" w:eastAsia="Times New Roman" w:hAnsi="Arial" w:cs="Arial"/>
          <w:b/>
          <w:bCs/>
          <w:sz w:val="19"/>
          <w:szCs w:val="19"/>
        </w:rPr>
        <w:t xml:space="preserve">2 kodeksu postępowania karnego </w:t>
      </w:r>
      <w:r w:rsidRPr="00BB48EE">
        <w:rPr>
          <w:rFonts w:ascii="Arial" w:eastAsia="Times New Roman" w:hAnsi="Arial" w:cs="Arial"/>
          <w:sz w:val="19"/>
          <w:szCs w:val="19"/>
        </w:rPr>
        <w:t xml:space="preserve">poprzez błędne przyjęcie, że prawomocne rozstrzygnięcie sądu o wynagrodzeniu obrońcy z urzędu nie może być następczo skorygowane wobec orzeczenia sądu konstytucyjnego o sprzeczności normy określającej wysokość wynagrodzenia obrońcy z urzędu, jako sprzecznego z Konstytucją, podczas gdy </w:t>
      </w:r>
      <w:r w:rsidRPr="00BB48EE">
        <w:rPr>
          <w:rFonts w:ascii="Arial" w:eastAsia="Times New Roman" w:hAnsi="Arial" w:cs="Arial"/>
          <w:b/>
          <w:bCs/>
          <w:sz w:val="19"/>
          <w:szCs w:val="19"/>
        </w:rPr>
        <w:t xml:space="preserve">przepis art. 190 ust. 4 Konstytucji Rzeczypospolitej Polskiej </w:t>
      </w:r>
      <w:r w:rsidR="00845AC8" w:rsidRPr="00BB48EE">
        <w:rPr>
          <w:rFonts w:ascii="Arial" w:eastAsia="Times New Roman" w:hAnsi="Arial" w:cs="Arial"/>
          <w:b/>
          <w:bCs/>
          <w:sz w:val="19"/>
          <w:szCs w:val="19"/>
        </w:rPr>
        <w:t xml:space="preserve">w zw. z art. 626 par. 2 KPK </w:t>
      </w:r>
      <w:r w:rsidR="001D2C79" w:rsidRPr="00BB48EE">
        <w:rPr>
          <w:rFonts w:ascii="Arial" w:eastAsia="Times New Roman" w:hAnsi="Arial" w:cs="Arial"/>
          <w:b/>
          <w:bCs/>
          <w:sz w:val="19"/>
          <w:szCs w:val="19"/>
        </w:rPr>
        <w:lastRenderedPageBreak/>
        <w:t xml:space="preserve">wprost </w:t>
      </w:r>
      <w:r w:rsidRPr="00BB48EE">
        <w:rPr>
          <w:rFonts w:ascii="Arial" w:eastAsia="Times New Roman" w:hAnsi="Arial" w:cs="Arial"/>
          <w:b/>
          <w:bCs/>
          <w:sz w:val="19"/>
          <w:szCs w:val="19"/>
        </w:rPr>
        <w:t>stwarza możliwość wznowienia takiego postępowania, a zatem</w:t>
      </w:r>
      <w:r w:rsidR="00E721E1" w:rsidRPr="00BB48EE">
        <w:rPr>
          <w:rFonts w:ascii="Arial" w:eastAsia="Times New Roman" w:hAnsi="Arial" w:cs="Arial"/>
          <w:b/>
          <w:bCs/>
          <w:sz w:val="19"/>
          <w:szCs w:val="19"/>
        </w:rPr>
        <w:t xml:space="preserve"> </w:t>
      </w:r>
      <w:r w:rsidRPr="00BB48EE">
        <w:rPr>
          <w:rFonts w:ascii="Arial" w:eastAsia="Times New Roman" w:hAnsi="Arial" w:cs="Arial"/>
          <w:b/>
          <w:bCs/>
          <w:sz w:val="19"/>
          <w:szCs w:val="19"/>
        </w:rPr>
        <w:t>korekty takiego postanowienia z mocą wsteczną</w:t>
      </w:r>
      <w:r w:rsidRPr="00BB48EE">
        <w:rPr>
          <w:rFonts w:ascii="Arial" w:eastAsia="Times New Roman" w:hAnsi="Arial" w:cs="Arial"/>
          <w:sz w:val="19"/>
          <w:szCs w:val="19"/>
        </w:rPr>
        <w:t xml:space="preserve">, </w:t>
      </w:r>
      <w:r w:rsidRPr="00BB48EE">
        <w:rPr>
          <w:rFonts w:ascii="Arial" w:eastAsia="Times New Roman" w:hAnsi="Arial" w:cs="Arial"/>
          <w:b/>
          <w:bCs/>
          <w:sz w:val="19"/>
          <w:szCs w:val="19"/>
        </w:rPr>
        <w:t>a jednocześnie przyjmowane jest, że stosowanie nadzwyczajnego trybu postępowania jest uzasadnione tylko wówczas, gdy stronom nie przysługują inne środki wzruszenia nieprawidłowego orzeczenia</w:t>
      </w:r>
      <w:r w:rsidR="001D2C79" w:rsidRPr="00BB48EE">
        <w:rPr>
          <w:rFonts w:ascii="Arial" w:eastAsia="Times New Roman" w:hAnsi="Arial" w:cs="Arial"/>
          <w:b/>
          <w:bCs/>
          <w:sz w:val="19"/>
          <w:szCs w:val="19"/>
        </w:rPr>
        <w:t xml:space="preserve">, takie jak wniosek na podstawie art. 626 </w:t>
      </w:r>
      <w:r w:rsidR="001D2C79" w:rsidRPr="00BB48EE">
        <w:rPr>
          <w:rFonts w:ascii="Arial" w:eastAsia="Times New Roman" w:hAnsi="Arial" w:cs="Arial"/>
          <w:sz w:val="19"/>
          <w:szCs w:val="19"/>
        </w:rPr>
        <w:t xml:space="preserve">§ </w:t>
      </w:r>
      <w:r w:rsidR="001D2C79" w:rsidRPr="00BB48EE">
        <w:rPr>
          <w:rFonts w:ascii="Arial" w:eastAsia="Times New Roman" w:hAnsi="Arial" w:cs="Arial"/>
          <w:b/>
          <w:bCs/>
          <w:sz w:val="19"/>
          <w:szCs w:val="19"/>
        </w:rPr>
        <w:t>2 kodeksu postępowania karnego;</w:t>
      </w:r>
    </w:p>
    <w:p w14:paraId="07884700" w14:textId="4C32B033" w:rsidR="00FF0ABF" w:rsidRPr="00BB48EE" w:rsidRDefault="00FF0ABF" w:rsidP="00265F3F">
      <w:pPr>
        <w:pStyle w:val="Akapitzlist"/>
        <w:numPr>
          <w:ilvl w:val="0"/>
          <w:numId w:val="20"/>
        </w:numPr>
        <w:spacing w:line="360" w:lineRule="auto"/>
        <w:jc w:val="both"/>
        <w:rPr>
          <w:rFonts w:ascii="Arial" w:eastAsia="Times New Roman" w:hAnsi="Arial" w:cs="Arial"/>
          <w:sz w:val="19"/>
          <w:szCs w:val="19"/>
        </w:rPr>
      </w:pPr>
      <w:r w:rsidRPr="00BB48EE">
        <w:rPr>
          <w:rFonts w:ascii="Arial" w:eastAsia="Times New Roman" w:hAnsi="Arial" w:cs="Arial"/>
          <w:sz w:val="19"/>
          <w:szCs w:val="19"/>
        </w:rPr>
        <w:t xml:space="preserve">obrazę przepisów postępowania, a to </w:t>
      </w:r>
      <w:r w:rsidRPr="00BB48EE">
        <w:rPr>
          <w:rFonts w:ascii="Arial" w:eastAsia="Times New Roman" w:hAnsi="Arial" w:cs="Arial"/>
          <w:b/>
          <w:bCs/>
          <w:sz w:val="19"/>
          <w:szCs w:val="19"/>
        </w:rPr>
        <w:t xml:space="preserve">art. 626 </w:t>
      </w:r>
      <w:r w:rsidRPr="00BB48EE">
        <w:rPr>
          <w:rFonts w:ascii="Arial" w:eastAsia="Times New Roman" w:hAnsi="Arial" w:cs="Arial"/>
          <w:sz w:val="19"/>
          <w:szCs w:val="19"/>
        </w:rPr>
        <w:t xml:space="preserve">§ </w:t>
      </w:r>
      <w:r w:rsidRPr="00BB48EE">
        <w:rPr>
          <w:rFonts w:ascii="Arial" w:eastAsia="Times New Roman" w:hAnsi="Arial" w:cs="Arial"/>
          <w:b/>
          <w:bCs/>
          <w:sz w:val="19"/>
          <w:szCs w:val="19"/>
        </w:rPr>
        <w:t xml:space="preserve">2 kodeksu postępowania karnego </w:t>
      </w:r>
      <w:r w:rsidR="001D2C79" w:rsidRPr="00BB48EE">
        <w:rPr>
          <w:rFonts w:ascii="Arial" w:eastAsia="Times New Roman" w:hAnsi="Arial" w:cs="Arial"/>
          <w:b/>
          <w:bCs/>
          <w:sz w:val="19"/>
          <w:szCs w:val="19"/>
        </w:rPr>
        <w:br/>
        <w:t xml:space="preserve">w zw. z art. 29 ust. 2 </w:t>
      </w:r>
      <w:r w:rsidR="00302A1D" w:rsidRPr="00BB48EE">
        <w:rPr>
          <w:rFonts w:ascii="Arial" w:eastAsia="Times New Roman" w:hAnsi="Arial" w:cs="Arial"/>
          <w:b/>
          <w:bCs/>
          <w:sz w:val="19"/>
          <w:szCs w:val="19"/>
        </w:rPr>
        <w:t xml:space="preserve">ustawy </w:t>
      </w:r>
      <w:r w:rsidR="001D2C79" w:rsidRPr="00BB48EE">
        <w:rPr>
          <w:rFonts w:ascii="Arial" w:eastAsia="Times New Roman" w:hAnsi="Arial" w:cs="Arial"/>
          <w:b/>
          <w:bCs/>
          <w:sz w:val="19"/>
          <w:szCs w:val="19"/>
        </w:rPr>
        <w:t>prawo o adwokaturze</w:t>
      </w:r>
      <w:r w:rsidR="001D2C79" w:rsidRPr="00BB48EE">
        <w:rPr>
          <w:rFonts w:ascii="Arial" w:eastAsia="Times New Roman" w:hAnsi="Arial" w:cs="Arial"/>
          <w:sz w:val="19"/>
          <w:szCs w:val="19"/>
        </w:rPr>
        <w:t xml:space="preserve"> </w:t>
      </w:r>
      <w:r w:rsidRPr="00BB48EE">
        <w:rPr>
          <w:rFonts w:ascii="Arial" w:eastAsia="Times New Roman" w:hAnsi="Arial" w:cs="Arial"/>
          <w:sz w:val="19"/>
          <w:szCs w:val="19"/>
        </w:rPr>
        <w:t>poprzez błędne przyjęcie, że wniosek obrońcy</w:t>
      </w:r>
      <w:r w:rsidR="001D2C79" w:rsidRPr="00BB48EE">
        <w:rPr>
          <w:rFonts w:ascii="Arial" w:eastAsia="Times New Roman" w:hAnsi="Arial" w:cs="Arial"/>
          <w:sz w:val="19"/>
          <w:szCs w:val="19"/>
        </w:rPr>
        <w:t xml:space="preserve"> </w:t>
      </w:r>
      <w:r w:rsidR="001D2C79" w:rsidRPr="00BB48EE">
        <w:rPr>
          <w:rFonts w:ascii="Arial" w:eastAsia="Times New Roman" w:hAnsi="Arial" w:cs="Arial"/>
          <w:sz w:val="19"/>
          <w:szCs w:val="19"/>
        </w:rPr>
        <w:br/>
        <w:t>o uzupełnienie postanowienia</w:t>
      </w:r>
      <w:r w:rsidRPr="00BB48EE">
        <w:rPr>
          <w:rFonts w:ascii="Arial" w:eastAsia="Times New Roman" w:hAnsi="Arial" w:cs="Arial"/>
          <w:sz w:val="19"/>
          <w:szCs w:val="19"/>
        </w:rPr>
        <w:t xml:space="preserve"> </w:t>
      </w:r>
      <w:r w:rsidR="001D2C79" w:rsidRPr="00BB48EE">
        <w:rPr>
          <w:rFonts w:ascii="Arial" w:eastAsia="Times New Roman" w:hAnsi="Arial" w:cs="Arial"/>
          <w:sz w:val="19"/>
          <w:szCs w:val="19"/>
        </w:rPr>
        <w:t xml:space="preserve">nie zasługuje na uwzględnienie również z uwagi na fakt, </w:t>
      </w:r>
      <w:r w:rsidR="001D2C79" w:rsidRPr="00BB48EE">
        <w:rPr>
          <w:rFonts w:ascii="Arial" w:eastAsia="Times New Roman" w:hAnsi="Arial" w:cs="Arial"/>
          <w:sz w:val="19"/>
          <w:szCs w:val="19"/>
        </w:rPr>
        <w:br/>
        <w:t xml:space="preserve">że domniemanie konstytucyjności nie zostało obalone wobec przepisów innych aniżeli §17 ust. 1 pkt. 2 oraz  §17 ust. 2 pkt. 3 rozporządzenia Ministra Sprawiedliwości z dnia 3 października 2016 roku w sprawie ponoszenia przez Skarb Państwa kosztów nieopłaconej pomocy prawnej udzielonej przez adwokata z urzędu, podczas gdy orzeczenie Trybunału Konstytucyjnego obejmuje ustalenie bezprawności </w:t>
      </w:r>
      <w:r w:rsidR="00302A1D" w:rsidRPr="00BB48EE">
        <w:rPr>
          <w:rFonts w:ascii="Arial" w:eastAsia="Times New Roman" w:hAnsi="Arial" w:cs="Arial"/>
          <w:b/>
          <w:bCs/>
          <w:sz w:val="19"/>
          <w:szCs w:val="19"/>
        </w:rPr>
        <w:t>dyskryminującej</w:t>
      </w:r>
      <w:r w:rsidR="00302A1D" w:rsidRPr="00BB48EE">
        <w:rPr>
          <w:rFonts w:ascii="Arial" w:eastAsia="Times New Roman" w:hAnsi="Arial" w:cs="Arial"/>
          <w:sz w:val="19"/>
          <w:szCs w:val="19"/>
        </w:rPr>
        <w:t xml:space="preserve"> </w:t>
      </w:r>
      <w:r w:rsidR="001D2C79" w:rsidRPr="00BB48EE">
        <w:rPr>
          <w:rFonts w:ascii="Arial" w:eastAsia="Times New Roman" w:hAnsi="Arial" w:cs="Arial"/>
          <w:b/>
          <w:bCs/>
          <w:sz w:val="19"/>
          <w:szCs w:val="19"/>
        </w:rPr>
        <w:t>normy prawnej, nie natomiast jednostki redakcyjnej tekstu przepisu rangi podustawowej</w:t>
      </w:r>
      <w:r w:rsidR="001D2C79" w:rsidRPr="00BB48EE">
        <w:rPr>
          <w:rFonts w:ascii="Arial" w:eastAsia="Times New Roman" w:hAnsi="Arial" w:cs="Arial"/>
          <w:sz w:val="19"/>
          <w:szCs w:val="19"/>
        </w:rPr>
        <w:t>, natomiast obowiązkiem sądu orzekającego pozostaje władcza ocena legalności aktów wykonawczych (tj. rozporządzeń)</w:t>
      </w:r>
      <w:r w:rsidR="00302A1D" w:rsidRPr="00BB48EE">
        <w:rPr>
          <w:rFonts w:ascii="Arial" w:eastAsia="Times New Roman" w:hAnsi="Arial" w:cs="Arial"/>
          <w:b/>
          <w:bCs/>
          <w:sz w:val="19"/>
          <w:szCs w:val="19"/>
        </w:rPr>
        <w:t xml:space="preserve">, w szczególności </w:t>
      </w:r>
      <w:r w:rsidR="001D2C79" w:rsidRPr="00BB48EE">
        <w:rPr>
          <w:rFonts w:ascii="Arial" w:eastAsia="Times New Roman" w:hAnsi="Arial" w:cs="Arial"/>
          <w:sz w:val="19"/>
          <w:szCs w:val="19"/>
        </w:rPr>
        <w:t xml:space="preserve">wobec ustalenia przez Trybunał Konstytucyjny w wyroku z dnia  20 grudnia 2022 roku (SK 78/21), że </w:t>
      </w:r>
      <w:r w:rsidR="001D2C79" w:rsidRPr="00BB48EE">
        <w:rPr>
          <w:rFonts w:ascii="Arial" w:eastAsia="Times New Roman" w:hAnsi="Arial" w:cs="Arial"/>
          <w:b/>
          <w:bCs/>
          <w:sz w:val="19"/>
          <w:szCs w:val="19"/>
        </w:rPr>
        <w:t>bezprawne pozostaje</w:t>
      </w:r>
      <w:r w:rsidR="001D2C79" w:rsidRPr="00BB48EE">
        <w:rPr>
          <w:rFonts w:ascii="Arial" w:eastAsia="Times New Roman" w:hAnsi="Arial" w:cs="Arial"/>
          <w:sz w:val="19"/>
          <w:szCs w:val="19"/>
        </w:rPr>
        <w:t xml:space="preserve"> </w:t>
      </w:r>
      <w:r w:rsidR="001D2C79" w:rsidRPr="00BB48EE">
        <w:rPr>
          <w:rFonts w:ascii="Arial" w:eastAsia="Times New Roman" w:hAnsi="Arial" w:cs="Arial"/>
          <w:b/>
          <w:bCs/>
          <w:sz w:val="19"/>
          <w:szCs w:val="19"/>
        </w:rPr>
        <w:t>każde zróżnicowanie stawek wynagrodzenia adwokata z urzędu oraz adwokata z wyboru</w:t>
      </w:r>
      <w:r w:rsidR="00302A1D" w:rsidRPr="00BB48EE">
        <w:rPr>
          <w:rFonts w:ascii="Arial" w:eastAsia="Times New Roman" w:hAnsi="Arial" w:cs="Arial"/>
          <w:b/>
          <w:bCs/>
          <w:sz w:val="19"/>
          <w:szCs w:val="19"/>
        </w:rPr>
        <w:t xml:space="preserve"> </w:t>
      </w:r>
      <w:r w:rsidR="00302A1D" w:rsidRPr="00BB48EE">
        <w:rPr>
          <w:rFonts w:ascii="Arial" w:eastAsia="Times New Roman" w:hAnsi="Arial" w:cs="Arial"/>
          <w:sz w:val="19"/>
          <w:szCs w:val="19"/>
        </w:rPr>
        <w:t>dokonane w rozporządzeniu Ministra Sprawiedliwości z dnia 3 października 2016 roku w sprawie ponoszenia przez Skarb Państwa kosztów nieopłaconej pomocy prawnej udzielonej przez adwokata z urzędu</w:t>
      </w:r>
      <w:r w:rsidR="001D2C79" w:rsidRPr="00BB48EE">
        <w:rPr>
          <w:rFonts w:ascii="Arial" w:eastAsia="Times New Roman" w:hAnsi="Arial" w:cs="Arial"/>
          <w:sz w:val="19"/>
          <w:szCs w:val="19"/>
        </w:rPr>
        <w:t xml:space="preserve">, co znalazło także wyraz w postanowieniu sygnalizacyjnym </w:t>
      </w:r>
      <w:r w:rsidR="00302A1D" w:rsidRPr="00BB48EE">
        <w:rPr>
          <w:rFonts w:ascii="Arial" w:eastAsia="Times New Roman" w:hAnsi="Arial" w:cs="Arial"/>
          <w:sz w:val="19"/>
          <w:szCs w:val="19"/>
        </w:rPr>
        <w:t xml:space="preserve">Trybunału Konstytucyjnego </w:t>
      </w:r>
      <w:r w:rsidR="001D2C79" w:rsidRPr="00BB48EE">
        <w:rPr>
          <w:rFonts w:ascii="Arial" w:eastAsia="Times New Roman" w:hAnsi="Arial" w:cs="Arial"/>
          <w:sz w:val="19"/>
          <w:szCs w:val="19"/>
        </w:rPr>
        <w:t>z dnia 20 grudnia 2022 roku, S 2/22</w:t>
      </w:r>
    </w:p>
    <w:p w14:paraId="4F9E6B38" w14:textId="396988CF" w:rsidR="00302A1D" w:rsidRPr="00BB48EE" w:rsidRDefault="00302A1D" w:rsidP="00265F3F">
      <w:pPr>
        <w:spacing w:line="360" w:lineRule="auto"/>
        <w:jc w:val="both"/>
        <w:rPr>
          <w:rFonts w:ascii="Arial" w:eastAsia="Times New Roman" w:hAnsi="Arial"/>
          <w:sz w:val="19"/>
          <w:szCs w:val="19"/>
        </w:rPr>
      </w:pPr>
    </w:p>
    <w:p w14:paraId="779532C1" w14:textId="3E04E038" w:rsidR="00302A1D" w:rsidRPr="00BB48EE" w:rsidRDefault="00302A1D" w:rsidP="00265F3F">
      <w:pPr>
        <w:spacing w:line="360" w:lineRule="auto"/>
        <w:jc w:val="both"/>
        <w:rPr>
          <w:rFonts w:ascii="Arial" w:eastAsia="Times New Roman" w:hAnsi="Arial"/>
          <w:b/>
          <w:bCs/>
          <w:sz w:val="19"/>
          <w:szCs w:val="19"/>
        </w:rPr>
      </w:pPr>
      <w:r w:rsidRPr="00BB48EE">
        <w:rPr>
          <w:rFonts w:ascii="Arial" w:eastAsia="Times New Roman" w:hAnsi="Arial"/>
          <w:sz w:val="19"/>
          <w:szCs w:val="19"/>
        </w:rPr>
        <w:t xml:space="preserve">W oparciu o powyższe zarzuty, </w:t>
      </w:r>
      <w:r w:rsidRPr="00BB48EE">
        <w:rPr>
          <w:rFonts w:ascii="Arial" w:eastAsia="Times New Roman" w:hAnsi="Arial"/>
          <w:b/>
          <w:bCs/>
          <w:sz w:val="19"/>
          <w:szCs w:val="19"/>
        </w:rPr>
        <w:t>wnoszę o zmianę zaskarżonego postanowienia</w:t>
      </w:r>
      <w:r w:rsidRPr="00BB48EE">
        <w:rPr>
          <w:rFonts w:ascii="Arial" w:eastAsia="Times New Roman" w:hAnsi="Arial"/>
          <w:sz w:val="19"/>
          <w:szCs w:val="19"/>
        </w:rPr>
        <w:t xml:space="preserve"> oraz </w:t>
      </w:r>
      <w:r w:rsidRPr="00BB48EE">
        <w:rPr>
          <w:rFonts w:ascii="Arial" w:eastAsia="Times New Roman" w:hAnsi="Arial"/>
          <w:b/>
          <w:bCs/>
          <w:sz w:val="19"/>
          <w:szCs w:val="19"/>
        </w:rPr>
        <w:t>o uzupełnienie rozstrzygnięcia o kosztach</w:t>
      </w:r>
      <w:r w:rsidRPr="00BB48EE">
        <w:rPr>
          <w:rFonts w:ascii="Arial" w:eastAsia="Times New Roman" w:hAnsi="Arial"/>
          <w:sz w:val="19"/>
          <w:szCs w:val="19"/>
        </w:rPr>
        <w:t xml:space="preserve"> zawartego w pkt. </w:t>
      </w:r>
      <w:r w:rsidR="00AE2674" w:rsidRPr="00BB48EE">
        <w:rPr>
          <w:rFonts w:ascii="Arial" w:eastAsia="Times New Roman" w:hAnsi="Arial"/>
          <w:sz w:val="19"/>
          <w:szCs w:val="19"/>
        </w:rPr>
        <w:t>…………</w:t>
      </w:r>
      <w:r w:rsidRPr="00BB48EE">
        <w:rPr>
          <w:rFonts w:ascii="Arial" w:eastAsia="Times New Roman" w:hAnsi="Arial"/>
          <w:sz w:val="19"/>
          <w:szCs w:val="19"/>
        </w:rPr>
        <w:t xml:space="preserve"> wyroku Sądu Rejonowego w </w:t>
      </w:r>
      <w:r w:rsidR="00F254C5" w:rsidRPr="00BB48EE">
        <w:rPr>
          <w:rFonts w:ascii="Arial" w:eastAsia="Times New Roman" w:hAnsi="Arial"/>
          <w:sz w:val="19"/>
          <w:szCs w:val="19"/>
        </w:rPr>
        <w:t>……………..</w:t>
      </w:r>
      <w:r w:rsidRPr="00BB48EE">
        <w:rPr>
          <w:rFonts w:ascii="Arial" w:eastAsia="Times New Roman" w:hAnsi="Arial"/>
          <w:sz w:val="19"/>
          <w:szCs w:val="19"/>
        </w:rPr>
        <w:t xml:space="preserve"> Wydział II Karny z dnia </w:t>
      </w:r>
      <w:r w:rsidR="00F254C5" w:rsidRPr="00BB48EE">
        <w:rPr>
          <w:rFonts w:ascii="Arial" w:eastAsia="Times New Roman" w:hAnsi="Arial"/>
          <w:sz w:val="19"/>
          <w:szCs w:val="19"/>
        </w:rPr>
        <w:t>……………………</w:t>
      </w:r>
      <w:r w:rsidRPr="00BB48EE">
        <w:rPr>
          <w:rFonts w:ascii="Arial" w:eastAsia="Times New Roman" w:hAnsi="Arial"/>
          <w:sz w:val="19"/>
          <w:szCs w:val="19"/>
        </w:rPr>
        <w:t xml:space="preserve"> </w:t>
      </w:r>
      <w:r w:rsidRPr="00BB48EE">
        <w:rPr>
          <w:rFonts w:ascii="Arial" w:eastAsia="Times New Roman" w:hAnsi="Arial"/>
          <w:b/>
          <w:bCs/>
          <w:sz w:val="19"/>
          <w:szCs w:val="19"/>
        </w:rPr>
        <w:t xml:space="preserve">poprzez przyznanie obrońcy </w:t>
      </w:r>
      <w:r w:rsidR="00F254C5" w:rsidRPr="00BB48EE">
        <w:rPr>
          <w:rFonts w:ascii="Arial" w:eastAsia="Times New Roman" w:hAnsi="Arial"/>
          <w:b/>
          <w:bCs/>
          <w:sz w:val="19"/>
          <w:szCs w:val="19"/>
        </w:rPr>
        <w:t>…………….</w:t>
      </w:r>
      <w:r w:rsidRPr="00BB48EE">
        <w:rPr>
          <w:rFonts w:ascii="Arial" w:eastAsia="Times New Roman" w:hAnsi="Arial"/>
          <w:b/>
          <w:bCs/>
          <w:sz w:val="19"/>
          <w:szCs w:val="19"/>
        </w:rPr>
        <w:t xml:space="preserve"> od Skarbu Państwa kosztów nieopłaconej pomocy prawnej udzielonej przez obrońcę z urzędu w postępowaniu przygotowawczym </w:t>
      </w:r>
      <w:r w:rsidRPr="00BB48EE">
        <w:rPr>
          <w:rFonts w:ascii="Arial" w:eastAsia="Times New Roman" w:hAnsi="Arial"/>
          <w:b/>
          <w:bCs/>
          <w:sz w:val="19"/>
          <w:szCs w:val="19"/>
        </w:rPr>
        <w:br/>
        <w:t xml:space="preserve">i postępowaniu sądowym, </w:t>
      </w:r>
      <w:r w:rsidRPr="00BB48EE">
        <w:rPr>
          <w:rFonts w:ascii="Arial" w:eastAsia="Times New Roman" w:hAnsi="Arial"/>
          <w:sz w:val="19"/>
          <w:szCs w:val="19"/>
        </w:rPr>
        <w:t xml:space="preserve">w dodatkowej kwocie </w:t>
      </w:r>
      <w:r w:rsidR="00F254C5" w:rsidRPr="00BB48EE">
        <w:rPr>
          <w:rFonts w:ascii="Arial" w:eastAsia="Times New Roman" w:hAnsi="Arial"/>
          <w:b/>
          <w:bCs/>
          <w:sz w:val="19"/>
          <w:szCs w:val="19"/>
        </w:rPr>
        <w:t>………………</w:t>
      </w:r>
    </w:p>
    <w:p w14:paraId="20B2483D" w14:textId="31C91950" w:rsidR="00302A1D" w:rsidRPr="00BB48EE" w:rsidRDefault="00302A1D" w:rsidP="00265F3F">
      <w:pPr>
        <w:spacing w:line="360" w:lineRule="auto"/>
        <w:jc w:val="both"/>
        <w:rPr>
          <w:rFonts w:ascii="Arial" w:eastAsia="Times New Roman" w:hAnsi="Arial"/>
          <w:sz w:val="19"/>
          <w:szCs w:val="19"/>
        </w:rPr>
      </w:pPr>
    </w:p>
    <w:p w14:paraId="2C3E6AC2" w14:textId="0ED5FFFD" w:rsidR="00CA1BD9" w:rsidRPr="00BB48EE" w:rsidRDefault="00CA1BD9" w:rsidP="00265F3F">
      <w:pPr>
        <w:spacing w:line="360" w:lineRule="auto"/>
        <w:jc w:val="both"/>
        <w:rPr>
          <w:rFonts w:ascii="Arial" w:eastAsia="Times New Roman" w:hAnsi="Arial"/>
          <w:sz w:val="19"/>
          <w:szCs w:val="19"/>
        </w:rPr>
      </w:pPr>
    </w:p>
    <w:p w14:paraId="6F5BCC57" w14:textId="32F909DA" w:rsidR="00302A1D" w:rsidRPr="00BB48EE" w:rsidRDefault="00302A1D" w:rsidP="00265F3F">
      <w:pPr>
        <w:spacing w:line="360" w:lineRule="auto"/>
        <w:jc w:val="center"/>
        <w:rPr>
          <w:rFonts w:ascii="Arial" w:eastAsia="Times New Roman" w:hAnsi="Arial"/>
          <w:b/>
          <w:bCs/>
          <w:sz w:val="19"/>
          <w:szCs w:val="19"/>
        </w:rPr>
      </w:pPr>
      <w:r w:rsidRPr="00BB48EE">
        <w:rPr>
          <w:rFonts w:ascii="Arial" w:eastAsia="Times New Roman" w:hAnsi="Arial"/>
          <w:b/>
          <w:bCs/>
          <w:sz w:val="19"/>
          <w:szCs w:val="19"/>
        </w:rPr>
        <w:t>UZASADNIENIE</w:t>
      </w:r>
    </w:p>
    <w:p w14:paraId="670B77A7" w14:textId="3DFA4086" w:rsidR="00302A1D" w:rsidRPr="00BB48EE" w:rsidRDefault="00302A1D" w:rsidP="00265F3F">
      <w:pPr>
        <w:spacing w:line="360" w:lineRule="auto"/>
        <w:jc w:val="both"/>
        <w:rPr>
          <w:rFonts w:ascii="Arial" w:eastAsia="Times New Roman" w:hAnsi="Arial"/>
          <w:sz w:val="19"/>
          <w:szCs w:val="19"/>
        </w:rPr>
      </w:pPr>
    </w:p>
    <w:p w14:paraId="0D42D530" w14:textId="5C1AAC45" w:rsidR="00302A1D" w:rsidRPr="00BB48EE" w:rsidRDefault="00302A1D" w:rsidP="00265F3F">
      <w:pPr>
        <w:spacing w:line="360" w:lineRule="auto"/>
        <w:jc w:val="both"/>
        <w:rPr>
          <w:rFonts w:ascii="Arial" w:eastAsia="Times New Roman" w:hAnsi="Arial"/>
          <w:sz w:val="19"/>
          <w:szCs w:val="19"/>
        </w:rPr>
      </w:pPr>
      <w:r w:rsidRPr="00BB48EE">
        <w:rPr>
          <w:rFonts w:ascii="Arial" w:eastAsia="Times New Roman" w:hAnsi="Arial"/>
          <w:sz w:val="19"/>
          <w:szCs w:val="19"/>
        </w:rPr>
        <w:t xml:space="preserve">W dniu </w:t>
      </w:r>
      <w:r w:rsidR="00EB0FEB" w:rsidRPr="00BB48EE">
        <w:rPr>
          <w:rFonts w:ascii="Arial" w:eastAsia="Times New Roman" w:hAnsi="Arial"/>
          <w:sz w:val="19"/>
          <w:szCs w:val="19"/>
        </w:rPr>
        <w:t>……………</w:t>
      </w:r>
      <w:r w:rsidRPr="00BB48EE">
        <w:rPr>
          <w:rFonts w:ascii="Arial" w:eastAsia="Times New Roman" w:hAnsi="Arial"/>
          <w:sz w:val="19"/>
          <w:szCs w:val="19"/>
        </w:rPr>
        <w:t xml:space="preserve"> obrońca złożył wniosek o uzupełnienie, na podstawie art. 626 § 2 kodeksu postępowania karnego, prawomocnego postanowienia Sądu Rejonowego </w:t>
      </w:r>
      <w:r w:rsidR="00F254C5" w:rsidRPr="00BB48EE">
        <w:rPr>
          <w:rFonts w:ascii="Arial" w:eastAsia="Times New Roman" w:hAnsi="Arial"/>
          <w:sz w:val="19"/>
          <w:szCs w:val="19"/>
        </w:rPr>
        <w:t>………………..</w:t>
      </w:r>
      <w:r w:rsidRPr="00BB48EE">
        <w:rPr>
          <w:rFonts w:ascii="Arial" w:eastAsia="Times New Roman" w:hAnsi="Arial"/>
          <w:sz w:val="19"/>
          <w:szCs w:val="19"/>
        </w:rPr>
        <w:t xml:space="preserve"> z dnia </w:t>
      </w:r>
      <w:r w:rsidRPr="00BB48EE">
        <w:rPr>
          <w:rFonts w:ascii="Arial" w:eastAsia="Times New Roman" w:hAnsi="Arial"/>
          <w:sz w:val="19"/>
          <w:szCs w:val="19"/>
        </w:rPr>
        <w:br/>
        <w:t xml:space="preserve">15 października 2020 roku,  wobec uznania przez Trybunał Konstytucyjny w wyroku z dnia 20 grudnia 2022 roku (SK 78/21), że </w:t>
      </w:r>
      <w:r w:rsidRPr="00BB48EE">
        <w:rPr>
          <w:rFonts w:ascii="Arial" w:eastAsia="Times New Roman" w:hAnsi="Arial"/>
          <w:b/>
          <w:bCs/>
          <w:sz w:val="19"/>
          <w:szCs w:val="19"/>
        </w:rPr>
        <w:t>§ 17 ust. 1 pkt 2 oraz § 17 ust. 2 pkt 3</w:t>
      </w:r>
      <w:r w:rsidRPr="00BB48EE">
        <w:rPr>
          <w:rFonts w:ascii="Arial" w:eastAsia="Times New Roman" w:hAnsi="Arial"/>
          <w:sz w:val="19"/>
          <w:szCs w:val="19"/>
        </w:rPr>
        <w:t xml:space="preserve"> rozporządzenia Ministra Sprawiedliwości z dnia </w:t>
      </w:r>
      <w:r w:rsidRPr="00BB48EE">
        <w:rPr>
          <w:rFonts w:ascii="Arial" w:eastAsia="Times New Roman" w:hAnsi="Arial"/>
          <w:sz w:val="19"/>
          <w:szCs w:val="19"/>
        </w:rPr>
        <w:br/>
        <w:t xml:space="preserve">3 października 2016 r. w sprawie ponoszenia przez Skarb Państwa kosztów nieopłaconej pomocy prawnej udzielonej przez adwokata z urzędu (Dz. U. z 2019 r. poz. 18, ze zm.) </w:t>
      </w:r>
      <w:r w:rsidRPr="00BB48EE">
        <w:rPr>
          <w:rFonts w:ascii="Arial" w:eastAsia="Times New Roman" w:hAnsi="Arial"/>
          <w:b/>
          <w:bCs/>
          <w:sz w:val="19"/>
          <w:szCs w:val="19"/>
        </w:rPr>
        <w:t>są niezgodne z art. 64 ust. 2 w związku z art. 31 ust. 3, art. 32 ust. 1, art. 2 i art. 92 ust. 1 zdanie pierwsze Konstytucji Rzeczypospolitej Polskiej</w:t>
      </w:r>
      <w:r w:rsidRPr="00BB48EE">
        <w:rPr>
          <w:rFonts w:ascii="Arial" w:eastAsia="Times New Roman" w:hAnsi="Arial"/>
          <w:sz w:val="19"/>
          <w:szCs w:val="19"/>
        </w:rPr>
        <w:t xml:space="preserve"> przez to, że wskazane w nich stawki dla adwokatów ustanowionych obrońcami z urzędu są niższe od stawek w tych samych sprawach dla adwokatów ustanowionych obrońcami z wyboru.</w:t>
      </w:r>
    </w:p>
    <w:p w14:paraId="144267EE" w14:textId="5299D107" w:rsidR="00302A1D" w:rsidRPr="00BB48EE" w:rsidRDefault="00302A1D" w:rsidP="00265F3F">
      <w:pPr>
        <w:spacing w:line="360" w:lineRule="auto"/>
        <w:jc w:val="both"/>
        <w:rPr>
          <w:rFonts w:ascii="Arial" w:eastAsia="Times New Roman" w:hAnsi="Arial"/>
          <w:sz w:val="19"/>
          <w:szCs w:val="19"/>
        </w:rPr>
      </w:pPr>
    </w:p>
    <w:p w14:paraId="6D71B344" w14:textId="4F8F5321" w:rsidR="00302A1D" w:rsidRPr="00BB48EE" w:rsidRDefault="00302A1D" w:rsidP="00265F3F">
      <w:pPr>
        <w:spacing w:line="360" w:lineRule="auto"/>
        <w:jc w:val="both"/>
        <w:rPr>
          <w:rFonts w:ascii="Arial" w:eastAsia="Times New Roman" w:hAnsi="Arial"/>
          <w:sz w:val="19"/>
          <w:szCs w:val="19"/>
        </w:rPr>
      </w:pPr>
      <w:r w:rsidRPr="00BB48EE">
        <w:rPr>
          <w:rFonts w:ascii="Arial" w:eastAsia="Times New Roman" w:hAnsi="Arial"/>
          <w:sz w:val="19"/>
          <w:szCs w:val="19"/>
        </w:rPr>
        <w:t xml:space="preserve">Postanowieniem z dnia </w:t>
      </w:r>
      <w:r w:rsidR="00F254C5" w:rsidRPr="00BB48EE">
        <w:rPr>
          <w:rFonts w:ascii="Arial" w:eastAsia="Times New Roman" w:hAnsi="Arial"/>
          <w:sz w:val="19"/>
          <w:szCs w:val="19"/>
        </w:rPr>
        <w:t>…………….</w:t>
      </w:r>
      <w:r w:rsidRPr="00BB48EE">
        <w:rPr>
          <w:rFonts w:ascii="Arial" w:eastAsia="Times New Roman" w:hAnsi="Arial"/>
          <w:sz w:val="19"/>
          <w:szCs w:val="19"/>
        </w:rPr>
        <w:t xml:space="preserve"> Sąd Rejonowy </w:t>
      </w:r>
      <w:r w:rsidR="00F254C5" w:rsidRPr="00BB48EE">
        <w:rPr>
          <w:rFonts w:ascii="Arial" w:eastAsia="Times New Roman" w:hAnsi="Arial"/>
          <w:sz w:val="19"/>
          <w:szCs w:val="19"/>
        </w:rPr>
        <w:t>…………..</w:t>
      </w:r>
      <w:r w:rsidR="005F2F4D" w:rsidRPr="00BB48EE">
        <w:rPr>
          <w:rFonts w:ascii="Arial" w:eastAsia="Times New Roman" w:hAnsi="Arial"/>
          <w:sz w:val="19"/>
          <w:szCs w:val="19"/>
        </w:rPr>
        <w:t xml:space="preserve"> odmówił uwzględnienia wniosku obrońcy, wskazując, że art. 626 § 2 kodeksu postępowania karnego nie przewiduje możliwości uzupełnienia prawomocnego postanowienia, nawet wówczas, gdy następczo przepisy, na których opierało się </w:t>
      </w:r>
      <w:r w:rsidR="005F2F4D" w:rsidRPr="00BB48EE">
        <w:rPr>
          <w:rFonts w:ascii="Arial" w:eastAsia="Times New Roman" w:hAnsi="Arial"/>
          <w:sz w:val="19"/>
          <w:szCs w:val="19"/>
        </w:rPr>
        <w:lastRenderedPageBreak/>
        <w:t>postanowienia, zostały uznane za sprzeczne z Konstytucją. W uzasadnieniu postanowienia Sąd powołał się na pogląd, według którego możliwość dodatkowe ustalenia wynagrodzenia</w:t>
      </w:r>
      <w:r w:rsidR="006E30F4" w:rsidRPr="00BB48EE">
        <w:rPr>
          <w:rFonts w:ascii="Arial" w:eastAsia="Times New Roman" w:hAnsi="Arial"/>
          <w:sz w:val="19"/>
          <w:szCs w:val="19"/>
        </w:rPr>
        <w:t xml:space="preserve"> dla obrońcy z urzędu</w:t>
      </w:r>
      <w:r w:rsidR="005F2F4D" w:rsidRPr="00BB48EE">
        <w:rPr>
          <w:rFonts w:ascii="Arial" w:eastAsia="Times New Roman" w:hAnsi="Arial"/>
          <w:sz w:val="19"/>
          <w:szCs w:val="19"/>
        </w:rPr>
        <w:t xml:space="preserve"> jest możliwe wówczas, gdy nie zamieszono rozstrzygnięcia o kosztach lub gdy istnieje konieczność dodatkowego ustalenia wysokości kosztów, w przypadku kosztów dotychczas sądowi nieznanych. </w:t>
      </w:r>
      <w:r w:rsidR="006E30F4" w:rsidRPr="00BB48EE">
        <w:rPr>
          <w:rFonts w:ascii="Arial" w:eastAsia="Times New Roman" w:hAnsi="Arial"/>
          <w:sz w:val="19"/>
          <w:szCs w:val="19"/>
        </w:rPr>
        <w:br/>
      </w:r>
      <w:r w:rsidR="005F2F4D" w:rsidRPr="00BB48EE">
        <w:rPr>
          <w:rFonts w:ascii="Arial" w:eastAsia="Times New Roman" w:hAnsi="Arial"/>
          <w:sz w:val="19"/>
          <w:szCs w:val="19"/>
        </w:rPr>
        <w:t>Sąd I instancji powołał się przy tym na orzeczenia sądów apelacyjnych we Wrocławiu i Krakowie</w:t>
      </w:r>
      <w:r w:rsidR="006E30F4" w:rsidRPr="00BB48EE">
        <w:rPr>
          <w:rFonts w:ascii="Arial" w:eastAsia="Times New Roman" w:hAnsi="Arial"/>
          <w:sz w:val="19"/>
          <w:szCs w:val="19"/>
        </w:rPr>
        <w:t xml:space="preserve">, według treści których, ze względów gwarancyjnych, nie jest możliwe korygowanie treści prawomocnych postanowień kosztowych. </w:t>
      </w:r>
    </w:p>
    <w:p w14:paraId="7B4CE479" w14:textId="4FE5EAB2" w:rsidR="006E30F4" w:rsidRPr="00BB48EE" w:rsidRDefault="006E30F4" w:rsidP="00265F3F">
      <w:pPr>
        <w:spacing w:line="360" w:lineRule="auto"/>
        <w:jc w:val="both"/>
        <w:rPr>
          <w:rFonts w:ascii="Arial" w:eastAsia="Times New Roman" w:hAnsi="Arial"/>
          <w:sz w:val="19"/>
          <w:szCs w:val="19"/>
        </w:rPr>
      </w:pPr>
    </w:p>
    <w:p w14:paraId="42698881" w14:textId="3E4881CA" w:rsidR="006E30F4" w:rsidRPr="00BB48EE" w:rsidRDefault="006E30F4" w:rsidP="00265F3F">
      <w:pPr>
        <w:spacing w:line="360" w:lineRule="auto"/>
        <w:jc w:val="both"/>
        <w:rPr>
          <w:rFonts w:ascii="Arial" w:eastAsia="Times New Roman" w:hAnsi="Arial"/>
          <w:sz w:val="19"/>
          <w:szCs w:val="19"/>
        </w:rPr>
      </w:pPr>
      <w:r w:rsidRPr="00BB48EE">
        <w:rPr>
          <w:rFonts w:ascii="Arial" w:eastAsia="Times New Roman" w:hAnsi="Arial"/>
          <w:sz w:val="19"/>
          <w:szCs w:val="19"/>
        </w:rPr>
        <w:t>Pogląd przyjmowany przez Sąd I instancji uznać należy za błędny co najmniej z kilku powodów. Tym samym błędne jest postanowienie o odmowie uwzględniania wniosku obrońcy o uzupełnienie postanowienia kosztowego</w:t>
      </w:r>
      <w:r w:rsidR="00E721E1" w:rsidRPr="00BB48EE">
        <w:rPr>
          <w:rFonts w:ascii="Arial" w:eastAsia="Times New Roman" w:hAnsi="Arial"/>
          <w:sz w:val="19"/>
          <w:szCs w:val="19"/>
        </w:rPr>
        <w:t xml:space="preserve"> i powinno ulec ono zmianie.</w:t>
      </w:r>
    </w:p>
    <w:p w14:paraId="7CCB7443" w14:textId="243831C4" w:rsidR="004B0704" w:rsidRPr="00BB48EE" w:rsidRDefault="004B0704" w:rsidP="00265F3F">
      <w:pPr>
        <w:spacing w:line="360" w:lineRule="auto"/>
        <w:jc w:val="both"/>
        <w:rPr>
          <w:rFonts w:ascii="Arial" w:eastAsia="Times New Roman" w:hAnsi="Arial"/>
          <w:sz w:val="19"/>
          <w:szCs w:val="19"/>
        </w:rPr>
      </w:pPr>
    </w:p>
    <w:p w14:paraId="1AD9F6C2" w14:textId="2366E533" w:rsidR="004B0704" w:rsidRPr="00BB48EE" w:rsidRDefault="004B0704" w:rsidP="00265F3F">
      <w:pPr>
        <w:pStyle w:val="Akapitzlist"/>
        <w:numPr>
          <w:ilvl w:val="0"/>
          <w:numId w:val="21"/>
        </w:numPr>
        <w:spacing w:line="360" w:lineRule="auto"/>
        <w:jc w:val="both"/>
        <w:rPr>
          <w:rFonts w:ascii="Arial" w:eastAsia="Times New Roman" w:hAnsi="Arial" w:cs="Arial"/>
          <w:b/>
          <w:bCs/>
          <w:sz w:val="19"/>
          <w:szCs w:val="19"/>
        </w:rPr>
      </w:pPr>
      <w:r w:rsidRPr="00BB48EE">
        <w:rPr>
          <w:rFonts w:ascii="Arial" w:eastAsia="Times New Roman" w:hAnsi="Arial" w:cs="Arial"/>
          <w:b/>
          <w:bCs/>
          <w:sz w:val="19"/>
          <w:szCs w:val="19"/>
        </w:rPr>
        <w:t xml:space="preserve">Uzupełnienie postanowienia, na podstawie art.. 626 § 2 kodeksu postępowania jako właściwy </w:t>
      </w:r>
      <w:r w:rsidR="00845AC8" w:rsidRPr="00BB48EE">
        <w:rPr>
          <w:rFonts w:ascii="Arial" w:eastAsia="Times New Roman" w:hAnsi="Arial" w:cs="Arial"/>
          <w:b/>
          <w:bCs/>
          <w:sz w:val="19"/>
          <w:szCs w:val="19"/>
        </w:rPr>
        <w:br/>
      </w:r>
      <w:r w:rsidRPr="00BB48EE">
        <w:rPr>
          <w:rFonts w:ascii="Arial" w:eastAsia="Times New Roman" w:hAnsi="Arial" w:cs="Arial"/>
          <w:b/>
          <w:bCs/>
          <w:sz w:val="19"/>
          <w:szCs w:val="19"/>
        </w:rPr>
        <w:t>tryb postępowania:</w:t>
      </w:r>
    </w:p>
    <w:p w14:paraId="3A9208D1" w14:textId="77777777" w:rsidR="004B0704" w:rsidRPr="00BB48EE" w:rsidRDefault="004B0704" w:rsidP="00265F3F">
      <w:pPr>
        <w:spacing w:line="360" w:lineRule="auto"/>
        <w:jc w:val="both"/>
        <w:rPr>
          <w:rFonts w:ascii="Arial" w:eastAsia="Times New Roman" w:hAnsi="Arial"/>
          <w:sz w:val="19"/>
          <w:szCs w:val="19"/>
        </w:rPr>
      </w:pPr>
    </w:p>
    <w:p w14:paraId="5EC38ADB" w14:textId="7479BF8C" w:rsidR="006E30F4" w:rsidRPr="00BB48EE" w:rsidRDefault="006F34AB" w:rsidP="00265F3F">
      <w:pPr>
        <w:spacing w:line="360" w:lineRule="auto"/>
        <w:jc w:val="both"/>
        <w:rPr>
          <w:rFonts w:ascii="Arial" w:eastAsia="Times New Roman" w:hAnsi="Arial"/>
          <w:i/>
          <w:iCs/>
          <w:sz w:val="19"/>
          <w:szCs w:val="19"/>
          <w:u w:val="single"/>
        </w:rPr>
      </w:pPr>
      <w:r w:rsidRPr="00BB48EE">
        <w:rPr>
          <w:rFonts w:ascii="Arial" w:eastAsia="Times New Roman" w:hAnsi="Arial"/>
          <w:sz w:val="19"/>
          <w:szCs w:val="19"/>
        </w:rPr>
        <w:t>Powołany</w:t>
      </w:r>
      <w:r w:rsidR="006E30F4" w:rsidRPr="00BB48EE">
        <w:rPr>
          <w:rFonts w:ascii="Arial" w:eastAsia="Times New Roman" w:hAnsi="Arial"/>
          <w:sz w:val="19"/>
          <w:szCs w:val="19"/>
        </w:rPr>
        <w:t xml:space="preserve"> przez Sąd pogląd o niedopuszczalności ustalenia dodatkowego wynagrodzenia znajduje swoje </w:t>
      </w:r>
      <w:r w:rsidR="00E721E1" w:rsidRPr="00BB48EE">
        <w:rPr>
          <w:rFonts w:ascii="Arial" w:eastAsia="Times New Roman" w:hAnsi="Arial"/>
          <w:sz w:val="19"/>
          <w:szCs w:val="19"/>
        </w:rPr>
        <w:t xml:space="preserve">pełne </w:t>
      </w:r>
      <w:r w:rsidR="006E30F4" w:rsidRPr="00BB48EE">
        <w:rPr>
          <w:rFonts w:ascii="Arial" w:eastAsia="Times New Roman" w:hAnsi="Arial"/>
          <w:sz w:val="19"/>
          <w:szCs w:val="19"/>
        </w:rPr>
        <w:t xml:space="preserve">zastosowanie, </w:t>
      </w:r>
      <w:r w:rsidR="006E30F4" w:rsidRPr="00BB48EE">
        <w:rPr>
          <w:rFonts w:ascii="Arial" w:eastAsia="Times New Roman" w:hAnsi="Arial"/>
          <w:b/>
          <w:bCs/>
          <w:sz w:val="19"/>
          <w:szCs w:val="19"/>
        </w:rPr>
        <w:t>wówczas gdy Sąd I instancji nieprawidłowo ustalił koszty postępowania</w:t>
      </w:r>
      <w:r w:rsidR="006E30F4" w:rsidRPr="00BB48EE">
        <w:rPr>
          <w:rFonts w:ascii="Arial" w:eastAsia="Times New Roman" w:hAnsi="Arial"/>
          <w:sz w:val="19"/>
          <w:szCs w:val="19"/>
        </w:rPr>
        <w:t xml:space="preserve">. </w:t>
      </w:r>
      <w:r w:rsidR="006E30F4" w:rsidRPr="00BB48EE">
        <w:rPr>
          <w:rFonts w:ascii="Arial" w:eastAsia="Times New Roman" w:hAnsi="Arial"/>
          <w:sz w:val="19"/>
          <w:szCs w:val="19"/>
        </w:rPr>
        <w:br/>
        <w:t>Taka konkluzja wynika zarówno z powołanego przez Sąd I instancji poglądu Sądu Apelacyjnego we Wrocławiu, jak również poglądu Sądu Apelacyjnego w Krakowie. Obrońca wyraża pełne poparcie dla poglądu, że nie jest dopuszczalne korygowanie prawomocnych postanowień w przedmiocie kosztów, wówczas gdy Sąd I instancji dokonał ich błędnego zastosowania.  Pogląd taki znajduje odzwierciedlenie nie tylko w orzecznictwie, ale także w doktrynie. Tak też SSN D. Święcki (</w:t>
      </w:r>
      <w:r w:rsidR="006E30F4" w:rsidRPr="00BB48EE">
        <w:rPr>
          <w:rFonts w:ascii="Arial" w:eastAsia="Times New Roman" w:hAnsi="Arial"/>
          <w:i/>
          <w:iCs/>
          <w:sz w:val="19"/>
          <w:szCs w:val="19"/>
        </w:rPr>
        <w:t>Kodeks postępowania karnego. Komentarz do art. 626 KPK</w:t>
      </w:r>
      <w:r w:rsidRPr="00BB48EE">
        <w:rPr>
          <w:rFonts w:ascii="Arial" w:eastAsia="Times New Roman" w:hAnsi="Arial"/>
          <w:i/>
          <w:iCs/>
          <w:sz w:val="19"/>
          <w:szCs w:val="19"/>
        </w:rPr>
        <w:t xml:space="preserve">, pkt. 7 </w:t>
      </w:r>
      <w:r w:rsidR="006E30F4" w:rsidRPr="00BB48EE">
        <w:rPr>
          <w:rFonts w:ascii="Arial" w:eastAsia="Times New Roman" w:hAnsi="Arial"/>
          <w:i/>
          <w:iCs/>
          <w:sz w:val="19"/>
          <w:szCs w:val="19"/>
        </w:rPr>
        <w:t>)</w:t>
      </w:r>
      <w:r w:rsidR="006E30F4" w:rsidRPr="00BB48EE">
        <w:rPr>
          <w:rFonts w:ascii="Arial" w:eastAsia="Times New Roman" w:hAnsi="Arial"/>
          <w:sz w:val="19"/>
          <w:szCs w:val="19"/>
        </w:rPr>
        <w:t xml:space="preserve"> trafnie uznaje, że „</w:t>
      </w:r>
      <w:r w:rsidR="006E30F4" w:rsidRPr="00BB48EE">
        <w:rPr>
          <w:rFonts w:ascii="Arial" w:eastAsia="Times New Roman" w:hAnsi="Arial"/>
          <w:i/>
          <w:iCs/>
          <w:sz w:val="19"/>
          <w:szCs w:val="19"/>
          <w:u w:val="single"/>
        </w:rPr>
        <w:t xml:space="preserve">w praktyce niejednokrotnie ma miejsce nieprawidłowa praktyka polegająca na poprawianiu błędów sądu w zakresie ustalania kosztów sądowych w trybie przewidzianym dla sprostowania omyłek. Niedopuszczalne jest bowiem korygowanie orzeczenia </w:t>
      </w:r>
      <w:r w:rsidR="006E30F4" w:rsidRPr="00BB48EE">
        <w:rPr>
          <w:rFonts w:ascii="Arial" w:eastAsia="Times New Roman" w:hAnsi="Arial"/>
          <w:i/>
          <w:iCs/>
          <w:sz w:val="19"/>
          <w:szCs w:val="19"/>
          <w:u w:val="single"/>
        </w:rPr>
        <w:br/>
        <w:t>o kosztach procesu w inny sposób niż tylko w trybie odwoławczym, w szczególności nie można przyznanej kwoty należności adwokata zmieniać w drodze „dodatkowego ustalenia” na podstawie art. 626 § 2 ani przez sprostowanie orzeczenia). Przepis art. 626 § 2 ma charakter gwarancyjny zapobiegający dowolnemu zmienianiu orzeczenia o kosztach wbrew zasadzie trwałości orzeczeń”</w:t>
      </w:r>
    </w:p>
    <w:p w14:paraId="5DE811B6" w14:textId="2AFC5546" w:rsidR="006E30F4" w:rsidRPr="00BB48EE" w:rsidRDefault="006E30F4" w:rsidP="00265F3F">
      <w:pPr>
        <w:spacing w:line="360" w:lineRule="auto"/>
        <w:jc w:val="both"/>
        <w:rPr>
          <w:rFonts w:ascii="Arial" w:eastAsia="Times New Roman" w:hAnsi="Arial"/>
          <w:i/>
          <w:iCs/>
          <w:sz w:val="19"/>
          <w:szCs w:val="19"/>
        </w:rPr>
      </w:pPr>
    </w:p>
    <w:p w14:paraId="10215EC2" w14:textId="75966902" w:rsidR="00863C2B" w:rsidRPr="00BB48EE" w:rsidRDefault="006E30F4" w:rsidP="00265F3F">
      <w:pPr>
        <w:spacing w:line="360" w:lineRule="auto"/>
        <w:jc w:val="both"/>
        <w:rPr>
          <w:rFonts w:ascii="Arial" w:eastAsia="Times New Roman" w:hAnsi="Arial"/>
          <w:sz w:val="19"/>
          <w:szCs w:val="19"/>
        </w:rPr>
      </w:pPr>
      <w:r w:rsidRPr="00BB48EE">
        <w:rPr>
          <w:rFonts w:ascii="Arial" w:eastAsia="Times New Roman" w:hAnsi="Arial"/>
          <w:sz w:val="19"/>
          <w:szCs w:val="19"/>
        </w:rPr>
        <w:t xml:space="preserve">Pogląd przywołany przez Sąd I instancji nie dotyczy natomiast sytuacji zaistniałej w niniejszej sprawie. </w:t>
      </w:r>
      <w:r w:rsidRPr="00BB48EE">
        <w:rPr>
          <w:rFonts w:ascii="Arial" w:eastAsia="Times New Roman" w:hAnsi="Arial"/>
          <w:sz w:val="19"/>
          <w:szCs w:val="19"/>
        </w:rPr>
        <w:br/>
      </w:r>
      <w:r w:rsidRPr="00BB48EE">
        <w:rPr>
          <w:rFonts w:ascii="Arial" w:eastAsia="Times New Roman" w:hAnsi="Arial"/>
          <w:b/>
          <w:bCs/>
          <w:sz w:val="19"/>
          <w:szCs w:val="19"/>
        </w:rPr>
        <w:t>Sąd I instancji nie mógł bowiem popełnić błędu w zakresie postanowienia kosztowego, którego korekta mogłaby być skutecznie dokonana na etapie postępowania odwoławczego</w:t>
      </w:r>
      <w:r w:rsidRPr="00BB48EE">
        <w:rPr>
          <w:rFonts w:ascii="Arial" w:eastAsia="Times New Roman" w:hAnsi="Arial"/>
          <w:sz w:val="19"/>
          <w:szCs w:val="19"/>
        </w:rPr>
        <w:t>. Na chwilę wydania postanowienia kosztowego</w:t>
      </w:r>
      <w:r w:rsidR="00863C2B" w:rsidRPr="00BB48EE">
        <w:rPr>
          <w:rFonts w:ascii="Arial" w:eastAsia="Times New Roman" w:hAnsi="Arial"/>
          <w:sz w:val="19"/>
          <w:szCs w:val="19"/>
        </w:rPr>
        <w:t xml:space="preserve"> przez Sad I instancji, wysokość kosztów znajdowała swoje potwierdzenie </w:t>
      </w:r>
      <w:r w:rsidR="00863C2B" w:rsidRPr="00BB48EE">
        <w:rPr>
          <w:rFonts w:ascii="Arial" w:eastAsia="Times New Roman" w:hAnsi="Arial"/>
          <w:sz w:val="19"/>
          <w:szCs w:val="19"/>
        </w:rPr>
        <w:br/>
        <w:t xml:space="preserve">w obowiązującym akcie prawnym w postaci rozporządzenia Ministra Sprawiedliwości z dnia </w:t>
      </w:r>
      <w:r w:rsidR="00863C2B" w:rsidRPr="00BB48EE">
        <w:rPr>
          <w:rFonts w:ascii="Arial" w:eastAsia="Times New Roman" w:hAnsi="Arial"/>
          <w:sz w:val="19"/>
          <w:szCs w:val="19"/>
        </w:rPr>
        <w:br/>
        <w:t xml:space="preserve">3 października 2016 r. w sprawie ponoszenia przez Skarb Państwa kosztów nieopłaconej pomocy prawnej udzielonej przez adwokata z urzędu (Dz. U. z 2019 r. poz. 18, ze zm.).  Sąd I instancji mógł opierać swoje rozstrzygnięcie jako prawidłowe na przepisach § 17 ust. 1 pkt 2 oraz § 17 ust. 2 pkt 3 w/w rozporządzenia, pomimo wadliwości </w:t>
      </w:r>
      <w:r w:rsidR="00E721E1" w:rsidRPr="00BB48EE">
        <w:rPr>
          <w:rFonts w:ascii="Arial" w:eastAsia="Times New Roman" w:hAnsi="Arial"/>
          <w:sz w:val="19"/>
          <w:szCs w:val="19"/>
        </w:rPr>
        <w:t xml:space="preserve">normatywnej samego </w:t>
      </w:r>
      <w:r w:rsidR="00863C2B" w:rsidRPr="00BB48EE">
        <w:rPr>
          <w:rFonts w:ascii="Arial" w:eastAsia="Times New Roman" w:hAnsi="Arial"/>
          <w:sz w:val="19"/>
          <w:szCs w:val="19"/>
        </w:rPr>
        <w:t xml:space="preserve">przepisu.  </w:t>
      </w:r>
    </w:p>
    <w:p w14:paraId="2D603652" w14:textId="7E3A85E6" w:rsidR="006E30F4" w:rsidRPr="00BB48EE" w:rsidRDefault="006E30F4" w:rsidP="00265F3F">
      <w:pPr>
        <w:spacing w:line="360" w:lineRule="auto"/>
        <w:jc w:val="both"/>
        <w:rPr>
          <w:rFonts w:ascii="Arial" w:eastAsia="Times New Roman" w:hAnsi="Arial"/>
          <w:sz w:val="19"/>
          <w:szCs w:val="19"/>
        </w:rPr>
      </w:pPr>
    </w:p>
    <w:p w14:paraId="3310CA12" w14:textId="064FAA70" w:rsidR="00863C2B" w:rsidRPr="00BB48EE" w:rsidRDefault="00863C2B" w:rsidP="00265F3F">
      <w:pPr>
        <w:spacing w:line="360" w:lineRule="auto"/>
        <w:jc w:val="both"/>
        <w:rPr>
          <w:rFonts w:ascii="Arial" w:eastAsia="Times New Roman" w:hAnsi="Arial"/>
          <w:sz w:val="19"/>
          <w:szCs w:val="19"/>
        </w:rPr>
      </w:pPr>
      <w:r w:rsidRPr="00BB48EE">
        <w:rPr>
          <w:rFonts w:ascii="Arial" w:eastAsia="Times New Roman" w:hAnsi="Arial"/>
          <w:b/>
          <w:bCs/>
          <w:sz w:val="19"/>
          <w:szCs w:val="19"/>
        </w:rPr>
        <w:t>Inna sytuacja ma miejsce wówczas, gdy Sądowi I instancji nie była znana prawidłowa wysokość kosztów wynagrodzenia adwokata</w:t>
      </w:r>
      <w:r w:rsidR="00E721E1" w:rsidRPr="00BB48EE">
        <w:rPr>
          <w:rFonts w:ascii="Arial" w:eastAsia="Times New Roman" w:hAnsi="Arial"/>
          <w:b/>
          <w:bCs/>
          <w:sz w:val="19"/>
          <w:szCs w:val="19"/>
        </w:rPr>
        <w:t>, a inna jeśli Sąd taki popełnił błąd, który mógł być korygowany w drodze zażalenia</w:t>
      </w:r>
      <w:r w:rsidRPr="00BB48EE">
        <w:rPr>
          <w:rFonts w:ascii="Arial" w:eastAsia="Times New Roman" w:hAnsi="Arial"/>
          <w:sz w:val="19"/>
          <w:szCs w:val="19"/>
        </w:rPr>
        <w:t xml:space="preserve">. Taka sytuacja ma miejsce, nie tylko w sytuacji braku przedłożenia określonego dokumentu (np. faktury przez biegłego), ale także wówczas, </w:t>
      </w:r>
      <w:r w:rsidRPr="00BB48EE">
        <w:rPr>
          <w:rFonts w:ascii="Arial" w:eastAsia="Times New Roman" w:hAnsi="Arial"/>
          <w:b/>
          <w:bCs/>
          <w:sz w:val="19"/>
          <w:szCs w:val="19"/>
        </w:rPr>
        <w:t xml:space="preserve">gdy w efekcie zmiany okoliczności </w:t>
      </w:r>
      <w:r w:rsidRPr="00BB48EE">
        <w:rPr>
          <w:rFonts w:ascii="Arial" w:eastAsia="Times New Roman" w:hAnsi="Arial"/>
          <w:b/>
          <w:bCs/>
          <w:sz w:val="19"/>
          <w:szCs w:val="19"/>
        </w:rPr>
        <w:lastRenderedPageBreak/>
        <w:t>faktycznych lub prawnych, wnioskujący, jak też Sąd, nie mogli o danych kosztach wiedzieć</w:t>
      </w:r>
      <w:r w:rsidRPr="00BB48EE">
        <w:rPr>
          <w:rFonts w:ascii="Arial" w:eastAsia="Times New Roman" w:hAnsi="Arial"/>
          <w:sz w:val="19"/>
          <w:szCs w:val="19"/>
        </w:rPr>
        <w:t xml:space="preserve">. Tak też z całą pewnością, kosztem nieznanym sądowi, na dzień wydania orzeczenia, była prawidłowa wysokość wynagrodzenia obrońcy, oparta o przepisy §11 ust. 1 pkt. 2 oraz §11 ust. 2 pkt. 3 rozporządzenia Ministra Sprawiedliwości z dnia 22 października 2015 roku w sprawie opłat za czynności adwokackie. Ponownie przywołać należy, że zarówno orzecznictwo, jak też doktryna pogląd taki w pełni akceptują. </w:t>
      </w:r>
    </w:p>
    <w:p w14:paraId="4D24B21D" w14:textId="13D1EEF6" w:rsidR="00863C2B" w:rsidRPr="00BB48EE" w:rsidRDefault="00863C2B" w:rsidP="00265F3F">
      <w:pPr>
        <w:spacing w:line="360" w:lineRule="auto"/>
        <w:jc w:val="both"/>
        <w:rPr>
          <w:rFonts w:ascii="Arial" w:eastAsia="Times New Roman" w:hAnsi="Arial"/>
          <w:sz w:val="19"/>
          <w:szCs w:val="19"/>
        </w:rPr>
      </w:pPr>
    </w:p>
    <w:p w14:paraId="77C90079" w14:textId="1292008B" w:rsidR="00863C2B" w:rsidRPr="00BB48EE" w:rsidRDefault="00863C2B" w:rsidP="00265F3F">
      <w:pPr>
        <w:spacing w:line="360" w:lineRule="auto"/>
        <w:jc w:val="both"/>
        <w:rPr>
          <w:rFonts w:ascii="Arial" w:eastAsia="Times New Roman" w:hAnsi="Arial"/>
          <w:b/>
          <w:bCs/>
          <w:sz w:val="19"/>
          <w:szCs w:val="19"/>
        </w:rPr>
      </w:pPr>
      <w:r w:rsidRPr="00BB48EE">
        <w:rPr>
          <w:rFonts w:ascii="Arial" w:eastAsia="Times New Roman" w:hAnsi="Arial"/>
          <w:sz w:val="19"/>
          <w:szCs w:val="19"/>
        </w:rPr>
        <w:t xml:space="preserve">Jak obrońca wskazał już w samym wniosku – Sąd Najwyższy w dniu 15 grudnia 2022 roku, wydając postanowienie V KZ 57/20 </w:t>
      </w:r>
      <w:r w:rsidRPr="00BB48EE">
        <w:rPr>
          <w:rFonts w:ascii="Arial" w:eastAsia="Times New Roman" w:hAnsi="Arial"/>
          <w:b/>
          <w:bCs/>
          <w:sz w:val="19"/>
          <w:szCs w:val="19"/>
        </w:rPr>
        <w:t>w stanie faktycznym identycznym, jak w niniejszej sprawie</w:t>
      </w:r>
      <w:r w:rsidRPr="00BB48EE">
        <w:rPr>
          <w:rFonts w:ascii="Arial" w:eastAsia="Times New Roman" w:hAnsi="Arial"/>
          <w:sz w:val="19"/>
          <w:szCs w:val="19"/>
        </w:rPr>
        <w:t>, uznał ponad wszelką wątpliwość, że tryb procedowania w oparciu o art. 626 §</w:t>
      </w:r>
      <w:r w:rsidR="006F34AB" w:rsidRPr="00BB48EE">
        <w:rPr>
          <w:rFonts w:ascii="Arial" w:eastAsia="Times New Roman" w:hAnsi="Arial"/>
          <w:sz w:val="19"/>
          <w:szCs w:val="19"/>
        </w:rPr>
        <w:t xml:space="preserve"> </w:t>
      </w:r>
      <w:r w:rsidRPr="00BB48EE">
        <w:rPr>
          <w:rFonts w:ascii="Arial" w:eastAsia="Times New Roman" w:hAnsi="Arial"/>
          <w:sz w:val="19"/>
          <w:szCs w:val="19"/>
        </w:rPr>
        <w:t xml:space="preserve">2 kodeksu postępowania karnego znajduje zastosowanie </w:t>
      </w:r>
      <w:r w:rsidRPr="00BB48EE">
        <w:rPr>
          <w:rFonts w:ascii="Arial" w:eastAsia="Times New Roman" w:hAnsi="Arial"/>
          <w:b/>
          <w:bCs/>
          <w:sz w:val="19"/>
          <w:szCs w:val="19"/>
        </w:rPr>
        <w:t xml:space="preserve">także w sytuacji, kiedy zasądzono obrońcy wynagrodzenie, lecz nie w pełnej wysokości. </w:t>
      </w:r>
      <w:r w:rsidRPr="00BB48EE">
        <w:rPr>
          <w:rFonts w:ascii="Arial" w:eastAsia="Times New Roman" w:hAnsi="Arial"/>
          <w:sz w:val="19"/>
          <w:szCs w:val="19"/>
        </w:rPr>
        <w:t>Znamiennym jest, że Sąd Najwyższy powołał się tutaj znowu na pogląd wyrażon</w:t>
      </w:r>
      <w:r w:rsidR="00E721E1" w:rsidRPr="00BB48EE">
        <w:rPr>
          <w:rFonts w:ascii="Arial" w:eastAsia="Times New Roman" w:hAnsi="Arial"/>
          <w:sz w:val="19"/>
          <w:szCs w:val="19"/>
        </w:rPr>
        <w:t xml:space="preserve">y </w:t>
      </w:r>
      <w:r w:rsidRPr="00BB48EE">
        <w:rPr>
          <w:rFonts w:ascii="Arial" w:eastAsia="Times New Roman" w:hAnsi="Arial"/>
          <w:sz w:val="19"/>
          <w:szCs w:val="19"/>
        </w:rPr>
        <w:t>i prezentowany przez SSN. D. Świeckiego</w:t>
      </w:r>
      <w:r w:rsidR="006F34AB" w:rsidRPr="00BB48EE">
        <w:rPr>
          <w:rFonts w:ascii="Arial" w:eastAsia="Times New Roman" w:hAnsi="Arial"/>
          <w:sz w:val="19"/>
          <w:szCs w:val="19"/>
        </w:rPr>
        <w:t xml:space="preserve">, zgodnie z którym </w:t>
      </w:r>
      <w:r w:rsidR="006F34AB" w:rsidRPr="00BB48EE">
        <w:rPr>
          <w:rFonts w:ascii="Arial" w:eastAsia="Times New Roman" w:hAnsi="Arial"/>
          <w:b/>
          <w:bCs/>
          <w:sz w:val="19"/>
          <w:szCs w:val="19"/>
        </w:rPr>
        <w:t xml:space="preserve">dopuszczalne jest wydanie orzeczenia w trybie art. 626 </w:t>
      </w:r>
      <w:r w:rsidR="006F34AB" w:rsidRPr="00BB48EE">
        <w:rPr>
          <w:rFonts w:ascii="Arial" w:eastAsia="Times New Roman" w:hAnsi="Arial"/>
          <w:sz w:val="19"/>
          <w:szCs w:val="19"/>
        </w:rPr>
        <w:t xml:space="preserve">§ </w:t>
      </w:r>
      <w:r w:rsidR="006F34AB" w:rsidRPr="00BB48EE">
        <w:rPr>
          <w:rFonts w:ascii="Arial" w:eastAsia="Times New Roman" w:hAnsi="Arial"/>
          <w:b/>
          <w:bCs/>
          <w:sz w:val="19"/>
          <w:szCs w:val="19"/>
        </w:rPr>
        <w:t xml:space="preserve">2 kodeksu postępowania, </w:t>
      </w:r>
      <w:r w:rsidR="006F34AB" w:rsidRPr="00BB48EE">
        <w:rPr>
          <w:rFonts w:ascii="Arial" w:eastAsia="Times New Roman" w:hAnsi="Arial"/>
          <w:sz w:val="19"/>
          <w:szCs w:val="19"/>
        </w:rPr>
        <w:t xml:space="preserve">jeżeli (…) </w:t>
      </w:r>
      <w:r w:rsidR="006F34AB" w:rsidRPr="00BB48EE">
        <w:rPr>
          <w:rFonts w:ascii="Arial" w:eastAsia="Times New Roman" w:hAnsi="Arial"/>
          <w:sz w:val="19"/>
          <w:szCs w:val="19"/>
          <w:u w:val="single"/>
        </w:rPr>
        <w:t>gdy zasądzono obrońcy wynagrodzenie nie w pełnej wysokości</w:t>
      </w:r>
      <w:r w:rsidR="006F34AB" w:rsidRPr="00BB48EE">
        <w:rPr>
          <w:rFonts w:ascii="Arial" w:eastAsia="Times New Roman" w:hAnsi="Arial"/>
          <w:sz w:val="19"/>
          <w:szCs w:val="19"/>
        </w:rPr>
        <w:t xml:space="preserve"> </w:t>
      </w:r>
      <w:r w:rsidR="006F34AB" w:rsidRPr="00BB48EE">
        <w:rPr>
          <w:rFonts w:ascii="Arial" w:eastAsia="Times New Roman" w:hAnsi="Arial"/>
          <w:sz w:val="19"/>
          <w:szCs w:val="19"/>
        </w:rPr>
        <w:br/>
        <w:t xml:space="preserve">(tak: D. Święcki, </w:t>
      </w:r>
      <w:r w:rsidR="006F34AB" w:rsidRPr="00BB48EE">
        <w:rPr>
          <w:rFonts w:ascii="Arial" w:eastAsia="Times New Roman" w:hAnsi="Arial"/>
          <w:i/>
          <w:iCs/>
          <w:sz w:val="19"/>
          <w:szCs w:val="19"/>
        </w:rPr>
        <w:t>Kodeks postępowania karnego. Komentarz do art. 626 KPK, pkt. 6 za: D. Świecki, Czynności procesowe obrońcy i pełnomocnika w sprawach karnych, Warszawa 2015, s. 290-291).</w:t>
      </w:r>
    </w:p>
    <w:p w14:paraId="54540450" w14:textId="77777777" w:rsidR="006F34AB" w:rsidRPr="00BB48EE" w:rsidRDefault="006F34AB" w:rsidP="00265F3F">
      <w:pPr>
        <w:spacing w:line="360" w:lineRule="auto"/>
        <w:jc w:val="both"/>
        <w:rPr>
          <w:rFonts w:ascii="Arial" w:eastAsia="Times New Roman" w:hAnsi="Arial"/>
          <w:sz w:val="19"/>
          <w:szCs w:val="19"/>
        </w:rPr>
      </w:pPr>
    </w:p>
    <w:p w14:paraId="4B26A035" w14:textId="70A541BA" w:rsidR="006F34AB" w:rsidRPr="00BB48EE" w:rsidRDefault="006F34AB" w:rsidP="00265F3F">
      <w:pPr>
        <w:spacing w:line="360" w:lineRule="auto"/>
        <w:jc w:val="both"/>
        <w:rPr>
          <w:rFonts w:ascii="Arial" w:eastAsia="Times New Roman" w:hAnsi="Arial"/>
          <w:sz w:val="19"/>
          <w:szCs w:val="19"/>
        </w:rPr>
      </w:pPr>
      <w:r w:rsidRPr="00BB48EE">
        <w:rPr>
          <w:rFonts w:ascii="Arial" w:eastAsia="Times New Roman" w:hAnsi="Arial"/>
          <w:sz w:val="19"/>
          <w:szCs w:val="19"/>
        </w:rPr>
        <w:t xml:space="preserve">Na szczególną uwagę zasługuje, że pogląd zaprezentowany przez Sąd Najwyższy w postanowieniu </w:t>
      </w:r>
      <w:r w:rsidRPr="00BB48EE">
        <w:rPr>
          <w:rFonts w:ascii="Arial" w:eastAsia="Times New Roman" w:hAnsi="Arial"/>
          <w:sz w:val="19"/>
          <w:szCs w:val="19"/>
        </w:rPr>
        <w:br/>
        <w:t xml:space="preserve">V KZ 57/20 </w:t>
      </w:r>
      <w:r w:rsidRPr="00BB48EE">
        <w:rPr>
          <w:rFonts w:ascii="Arial" w:eastAsia="Times New Roman" w:hAnsi="Arial"/>
          <w:b/>
          <w:bCs/>
          <w:sz w:val="19"/>
          <w:szCs w:val="19"/>
        </w:rPr>
        <w:t>dotyczył zażalenia złożonego przez obrońcę na zarządzenie Sądu Apelacyjnego w przedmiocie</w:t>
      </w:r>
      <w:r w:rsidRPr="00BB48EE">
        <w:rPr>
          <w:rFonts w:ascii="Arial" w:eastAsia="Times New Roman" w:hAnsi="Arial"/>
          <w:sz w:val="19"/>
          <w:szCs w:val="19"/>
        </w:rPr>
        <w:t xml:space="preserve"> </w:t>
      </w:r>
      <w:r w:rsidRPr="00BB48EE">
        <w:rPr>
          <w:rFonts w:ascii="Arial" w:eastAsia="Times New Roman" w:hAnsi="Arial"/>
          <w:b/>
          <w:bCs/>
          <w:sz w:val="19"/>
          <w:szCs w:val="19"/>
        </w:rPr>
        <w:t>odmowy wznowienia postępowania  po orzeczeniu Trybunału Konstytucyjnego w przedmiocie uznania wysokości wynagrodzenia adwokata z urzędu za sprzeczną z Konstytucją</w:t>
      </w:r>
      <w:r w:rsidRPr="00BB48EE">
        <w:rPr>
          <w:rFonts w:ascii="Arial" w:eastAsia="Times New Roman" w:hAnsi="Arial"/>
          <w:sz w:val="19"/>
          <w:szCs w:val="19"/>
        </w:rPr>
        <w:t xml:space="preserve">.  Tym samym Sąd Najwyższy dał wyraz poglądowi, że </w:t>
      </w:r>
      <w:r w:rsidRPr="00BB48EE">
        <w:rPr>
          <w:rFonts w:ascii="Arial" w:eastAsia="Times New Roman" w:hAnsi="Arial"/>
          <w:sz w:val="19"/>
          <w:szCs w:val="19"/>
          <w:u w:val="single"/>
        </w:rPr>
        <w:t>wznowienie postępowania nie jest trybem</w:t>
      </w:r>
      <w:r w:rsidR="00DF0879" w:rsidRPr="00BB48EE">
        <w:rPr>
          <w:rFonts w:ascii="Arial" w:eastAsia="Times New Roman" w:hAnsi="Arial"/>
          <w:sz w:val="19"/>
          <w:szCs w:val="19"/>
          <w:u w:val="single"/>
        </w:rPr>
        <w:t xml:space="preserve"> właściwym ani</w:t>
      </w:r>
      <w:r w:rsidRPr="00BB48EE">
        <w:rPr>
          <w:rFonts w:ascii="Arial" w:eastAsia="Times New Roman" w:hAnsi="Arial"/>
          <w:sz w:val="19"/>
          <w:szCs w:val="19"/>
          <w:u w:val="single"/>
        </w:rPr>
        <w:t xml:space="preserve"> koniecznym</w:t>
      </w:r>
      <w:r w:rsidRPr="00BB48EE">
        <w:rPr>
          <w:rFonts w:ascii="Arial" w:eastAsia="Times New Roman" w:hAnsi="Arial"/>
          <w:sz w:val="19"/>
          <w:szCs w:val="19"/>
        </w:rPr>
        <w:t xml:space="preserve">, celem naprawy tak ukształtowanego stanu prawnego, w zakresie sytuacji prawnej </w:t>
      </w:r>
      <w:r w:rsidR="00E721E1" w:rsidRPr="00BB48EE">
        <w:rPr>
          <w:rFonts w:ascii="Arial" w:eastAsia="Times New Roman" w:hAnsi="Arial"/>
          <w:sz w:val="19"/>
          <w:szCs w:val="19"/>
        </w:rPr>
        <w:t>obrońcy</w:t>
      </w:r>
      <w:r w:rsidRPr="00BB48EE">
        <w:rPr>
          <w:rFonts w:ascii="Arial" w:eastAsia="Times New Roman" w:hAnsi="Arial"/>
          <w:sz w:val="19"/>
          <w:szCs w:val="19"/>
        </w:rPr>
        <w:t xml:space="preserve"> z urzędu.</w:t>
      </w:r>
    </w:p>
    <w:p w14:paraId="776B7FF9" w14:textId="72195EFA" w:rsidR="004B0704" w:rsidRPr="00BB48EE" w:rsidRDefault="004B0704" w:rsidP="00265F3F">
      <w:pPr>
        <w:spacing w:line="360" w:lineRule="auto"/>
        <w:jc w:val="both"/>
        <w:rPr>
          <w:rFonts w:ascii="Arial" w:eastAsia="Times New Roman" w:hAnsi="Arial"/>
          <w:sz w:val="19"/>
          <w:szCs w:val="19"/>
        </w:rPr>
      </w:pPr>
    </w:p>
    <w:p w14:paraId="6A63D7AF" w14:textId="2149F230" w:rsidR="004B0704" w:rsidRPr="00BB48EE" w:rsidRDefault="004B0704" w:rsidP="00265F3F">
      <w:pPr>
        <w:spacing w:line="360" w:lineRule="auto"/>
        <w:jc w:val="both"/>
        <w:rPr>
          <w:rFonts w:ascii="Arial" w:eastAsia="Times New Roman" w:hAnsi="Arial"/>
          <w:b/>
          <w:bCs/>
          <w:sz w:val="19"/>
          <w:szCs w:val="19"/>
        </w:rPr>
      </w:pPr>
      <w:r w:rsidRPr="00BB48EE">
        <w:rPr>
          <w:rFonts w:ascii="Arial" w:eastAsia="Times New Roman" w:hAnsi="Arial"/>
          <w:sz w:val="19"/>
          <w:szCs w:val="19"/>
        </w:rPr>
        <w:t xml:space="preserve">Co więcej, o możliwości złożenia wniosku w trybie art. 626 par. 2 KPK w zw. z art. 190 ust. 4 Konstytucji wypowiedział się </w:t>
      </w:r>
      <w:r w:rsidR="00E721E1" w:rsidRPr="00BB48EE">
        <w:rPr>
          <w:rFonts w:ascii="Arial" w:eastAsia="Times New Roman" w:hAnsi="Arial"/>
          <w:sz w:val="19"/>
          <w:szCs w:val="19"/>
        </w:rPr>
        <w:t>bezpośrednio</w:t>
      </w:r>
      <w:r w:rsidRPr="00BB48EE">
        <w:rPr>
          <w:rFonts w:ascii="Arial" w:eastAsia="Times New Roman" w:hAnsi="Arial"/>
          <w:sz w:val="19"/>
          <w:szCs w:val="19"/>
        </w:rPr>
        <w:t xml:space="preserve"> Trybunał Konstytucyjny w uzasadnieniu orzeczenia SK 7</w:t>
      </w:r>
      <w:r w:rsidR="00347FF6" w:rsidRPr="00BB48EE">
        <w:rPr>
          <w:rFonts w:ascii="Arial" w:eastAsia="Times New Roman" w:hAnsi="Arial"/>
          <w:sz w:val="19"/>
          <w:szCs w:val="19"/>
        </w:rPr>
        <w:t>8</w:t>
      </w:r>
      <w:r w:rsidRPr="00BB48EE">
        <w:rPr>
          <w:rFonts w:ascii="Arial" w:eastAsia="Times New Roman" w:hAnsi="Arial"/>
          <w:sz w:val="19"/>
          <w:szCs w:val="19"/>
        </w:rPr>
        <w:t>/</w:t>
      </w:r>
      <w:r w:rsidR="00E721E1" w:rsidRPr="00BB48EE">
        <w:rPr>
          <w:rFonts w:ascii="Arial" w:eastAsia="Times New Roman" w:hAnsi="Arial"/>
          <w:sz w:val="19"/>
          <w:szCs w:val="19"/>
        </w:rPr>
        <w:t>2</w:t>
      </w:r>
      <w:r w:rsidR="00347FF6" w:rsidRPr="00BB48EE">
        <w:rPr>
          <w:rFonts w:ascii="Arial" w:eastAsia="Times New Roman" w:hAnsi="Arial"/>
          <w:sz w:val="19"/>
          <w:szCs w:val="19"/>
        </w:rPr>
        <w:t>1</w:t>
      </w:r>
      <w:r w:rsidRPr="00BB48EE">
        <w:rPr>
          <w:rFonts w:ascii="Arial" w:eastAsia="Times New Roman" w:hAnsi="Arial"/>
          <w:sz w:val="19"/>
          <w:szCs w:val="19"/>
        </w:rPr>
        <w:t>: „</w:t>
      </w:r>
      <w:r w:rsidRPr="00BB48EE">
        <w:rPr>
          <w:rFonts w:ascii="Arial" w:eastAsia="Times New Roman" w:hAnsi="Arial"/>
          <w:b/>
          <w:bCs/>
          <w:sz w:val="19"/>
          <w:szCs w:val="19"/>
        </w:rPr>
        <w:t>pkt. 16</w:t>
      </w:r>
      <w:r w:rsidR="00347FF6" w:rsidRPr="00BB48EE">
        <w:rPr>
          <w:rFonts w:ascii="Arial" w:eastAsia="Times New Roman" w:hAnsi="Arial"/>
          <w:b/>
          <w:bCs/>
          <w:sz w:val="19"/>
          <w:szCs w:val="19"/>
        </w:rPr>
        <w:t>9</w:t>
      </w:r>
      <w:r w:rsidRPr="00BB48EE">
        <w:rPr>
          <w:rFonts w:ascii="Arial" w:eastAsia="Times New Roman" w:hAnsi="Arial"/>
          <w:b/>
          <w:bCs/>
          <w:sz w:val="19"/>
          <w:szCs w:val="19"/>
        </w:rPr>
        <w:t xml:space="preserve">. </w:t>
      </w:r>
      <w:r w:rsidR="00E721E1" w:rsidRPr="00BB48EE">
        <w:rPr>
          <w:rFonts w:ascii="Arial" w:eastAsia="Times New Roman" w:hAnsi="Arial"/>
          <w:b/>
          <w:bCs/>
          <w:sz w:val="19"/>
          <w:szCs w:val="19"/>
        </w:rPr>
        <w:t xml:space="preserve">3.3. </w:t>
      </w:r>
      <w:r w:rsidRPr="00BB48EE">
        <w:rPr>
          <w:rFonts w:ascii="Arial" w:eastAsia="Times New Roman" w:hAnsi="Arial"/>
          <w:b/>
          <w:bCs/>
          <w:sz w:val="19"/>
          <w:szCs w:val="19"/>
        </w:rPr>
        <w:t>Na podstawie niniejszego wyroku, skarżący ma możliwość wystąpienia do właściwego sądu z wnioskiem na podstawie art. 190 ust. 4 Konstytucji w związku z art. 626 § 2 ustawy z dnia 6 czerwca 1997 r. – Kodeks postępowania karnego (Dz. U. z 2022 r. poz. 1375, ze zm.) – (por. Orzekanie o kosztach za pomoc prawną z urzędu po wyroku Trybunału Konstytucyjnego z 23.04.2020 r., SK 66/19, „Przegląd Sądowy” nr 5/2022, s. 59; M. Florczak-Wątor, O niekonstytucyjności zasad wynagradzania radców prawnych świadczących pomoc prawną z urzędu i wynikających z tego skutkach prawnych, „Radca Prawny. Zeszyty Naukowe” nr 2/2022, s. 156-157)</w:t>
      </w:r>
    </w:p>
    <w:p w14:paraId="6FE2CA7B" w14:textId="77777777" w:rsidR="006F34AB" w:rsidRPr="00BB48EE" w:rsidRDefault="006F34AB" w:rsidP="00265F3F">
      <w:pPr>
        <w:spacing w:line="360" w:lineRule="auto"/>
        <w:jc w:val="both"/>
        <w:rPr>
          <w:rFonts w:ascii="Arial" w:eastAsia="Times New Roman" w:hAnsi="Arial"/>
          <w:sz w:val="19"/>
          <w:szCs w:val="19"/>
        </w:rPr>
      </w:pPr>
    </w:p>
    <w:p w14:paraId="5A19FC5C" w14:textId="294BBA9B" w:rsidR="006F34AB" w:rsidRPr="00BB48EE" w:rsidRDefault="006F34AB" w:rsidP="00265F3F">
      <w:pPr>
        <w:spacing w:line="360" w:lineRule="auto"/>
        <w:jc w:val="both"/>
        <w:rPr>
          <w:rFonts w:ascii="Arial" w:eastAsia="Times New Roman" w:hAnsi="Arial"/>
          <w:sz w:val="19"/>
          <w:szCs w:val="19"/>
        </w:rPr>
      </w:pPr>
      <w:r w:rsidRPr="00BB48EE">
        <w:rPr>
          <w:rFonts w:ascii="Arial" w:eastAsia="Times New Roman" w:hAnsi="Arial"/>
          <w:sz w:val="19"/>
          <w:szCs w:val="19"/>
        </w:rPr>
        <w:t xml:space="preserve">Stanowisko zaprezentowane przez Sąd I instancji, w żadnej mierze nie odniosło się </w:t>
      </w:r>
      <w:r w:rsidR="00DF0879" w:rsidRPr="00BB48EE">
        <w:rPr>
          <w:rFonts w:ascii="Arial" w:eastAsia="Times New Roman" w:hAnsi="Arial"/>
          <w:sz w:val="19"/>
          <w:szCs w:val="19"/>
        </w:rPr>
        <w:t>do powyższego faktu</w:t>
      </w:r>
      <w:r w:rsidRPr="00BB48EE">
        <w:rPr>
          <w:rFonts w:ascii="Arial" w:eastAsia="Times New Roman" w:hAnsi="Arial"/>
          <w:sz w:val="19"/>
          <w:szCs w:val="19"/>
        </w:rPr>
        <w:t xml:space="preserve"> prawnego.</w:t>
      </w:r>
      <w:r w:rsidR="00DF0879" w:rsidRPr="00BB48EE">
        <w:rPr>
          <w:rFonts w:ascii="Arial" w:eastAsia="Times New Roman" w:hAnsi="Arial"/>
          <w:sz w:val="19"/>
          <w:szCs w:val="19"/>
        </w:rPr>
        <w:t xml:space="preserve"> </w:t>
      </w:r>
      <w:r w:rsidRPr="00BB48EE">
        <w:rPr>
          <w:rFonts w:ascii="Arial" w:eastAsia="Times New Roman" w:hAnsi="Arial"/>
          <w:sz w:val="19"/>
          <w:szCs w:val="19"/>
        </w:rPr>
        <w:t xml:space="preserve">Jednocześnie sprzeczne z zasadami zaufania obywatela do organów władzy publicznej pozostają wzajemnie wykluczające się orzeczenia organów, w zakresie ukształtowania sytuacji </w:t>
      </w:r>
      <w:r w:rsidR="00DF0879" w:rsidRPr="00BB48EE">
        <w:rPr>
          <w:rFonts w:ascii="Arial" w:eastAsia="Times New Roman" w:hAnsi="Arial"/>
          <w:sz w:val="19"/>
          <w:szCs w:val="19"/>
        </w:rPr>
        <w:t xml:space="preserve">prawnej i </w:t>
      </w:r>
      <w:r w:rsidRPr="00BB48EE">
        <w:rPr>
          <w:rFonts w:ascii="Arial" w:eastAsia="Times New Roman" w:hAnsi="Arial"/>
          <w:sz w:val="19"/>
          <w:szCs w:val="19"/>
        </w:rPr>
        <w:t xml:space="preserve">majątkowej obywatela.  Pełnomocnik nie może pozostawać w niepewności co do tego, jaki środek prawny ma zastosować, w celu uzyskania wynagrodzenia należnego mu za wykonaną pracę. Zwłaszcza, jeśli sąd konstytucyjny </w:t>
      </w:r>
      <w:r w:rsidR="00DF0879" w:rsidRPr="00BB48EE">
        <w:rPr>
          <w:rFonts w:ascii="Arial" w:eastAsia="Times New Roman" w:hAnsi="Arial"/>
          <w:sz w:val="19"/>
          <w:szCs w:val="19"/>
        </w:rPr>
        <w:t>wprost potwierdził</w:t>
      </w:r>
      <w:r w:rsidRPr="00BB48EE">
        <w:rPr>
          <w:rFonts w:ascii="Arial" w:eastAsia="Times New Roman" w:hAnsi="Arial"/>
          <w:sz w:val="19"/>
          <w:szCs w:val="19"/>
        </w:rPr>
        <w:t>, że dotychczasowe przepisy naruszały jego interesy majątkowe</w:t>
      </w:r>
      <w:r w:rsidR="00DF0879" w:rsidRPr="00BB48EE">
        <w:rPr>
          <w:rFonts w:ascii="Arial" w:eastAsia="Times New Roman" w:hAnsi="Arial"/>
          <w:sz w:val="19"/>
          <w:szCs w:val="19"/>
        </w:rPr>
        <w:t xml:space="preserve">, co stanowi podstawę odpowiedzialności Skarbu Państwa za wyrządzoną pełnomocnikowi szkodę. Przypomnieć należy, że rolą sadów jest sprawowanie wymiaru sprawiedliwości, nie natomiast poszukiwanie formalnych uzasadnień dla uniknięcie konsekwencji błędów władzy wykonawczej. </w:t>
      </w:r>
      <w:r w:rsidR="00E721E1" w:rsidRPr="00BB48EE">
        <w:rPr>
          <w:rFonts w:ascii="Arial" w:eastAsia="Times New Roman" w:hAnsi="Arial"/>
          <w:sz w:val="19"/>
          <w:szCs w:val="19"/>
        </w:rPr>
        <w:t xml:space="preserve">Rozstrzygnięcia sadów, w powyższym </w:t>
      </w:r>
      <w:r w:rsidR="00E721E1" w:rsidRPr="00BB48EE">
        <w:rPr>
          <w:rFonts w:ascii="Arial" w:eastAsia="Times New Roman" w:hAnsi="Arial"/>
          <w:sz w:val="19"/>
          <w:szCs w:val="19"/>
        </w:rPr>
        <w:lastRenderedPageBreak/>
        <w:t xml:space="preserve">względzie, powinny mieć na uwadze przede wszystkim interes uczestników postępowania, nie natomiast w sposób nieuzasadniony bronić interesu fiskalnego Skarbu Państwa. </w:t>
      </w:r>
    </w:p>
    <w:p w14:paraId="4C51ABED" w14:textId="743D816E" w:rsidR="00E721E1" w:rsidRPr="00BB48EE" w:rsidRDefault="00E721E1" w:rsidP="00265F3F">
      <w:pPr>
        <w:spacing w:line="360" w:lineRule="auto"/>
        <w:jc w:val="both"/>
        <w:rPr>
          <w:rFonts w:ascii="Arial" w:eastAsia="Times New Roman" w:hAnsi="Arial"/>
          <w:sz w:val="19"/>
          <w:szCs w:val="19"/>
        </w:rPr>
      </w:pPr>
    </w:p>
    <w:p w14:paraId="1D039CA8" w14:textId="4454350D" w:rsidR="004B0704" w:rsidRPr="00BB48EE" w:rsidRDefault="004B0704" w:rsidP="00265F3F">
      <w:pPr>
        <w:pStyle w:val="Akapitzlist"/>
        <w:numPr>
          <w:ilvl w:val="0"/>
          <w:numId w:val="21"/>
        </w:numPr>
        <w:spacing w:line="360" w:lineRule="auto"/>
        <w:jc w:val="both"/>
        <w:rPr>
          <w:rFonts w:ascii="Arial" w:eastAsia="Times New Roman" w:hAnsi="Arial" w:cs="Arial"/>
          <w:b/>
          <w:bCs/>
          <w:sz w:val="19"/>
          <w:szCs w:val="19"/>
        </w:rPr>
      </w:pPr>
      <w:r w:rsidRPr="00BB48EE">
        <w:rPr>
          <w:rFonts w:ascii="Arial" w:eastAsia="Times New Roman" w:hAnsi="Arial" w:cs="Arial"/>
          <w:b/>
          <w:bCs/>
          <w:sz w:val="19"/>
          <w:szCs w:val="19"/>
        </w:rPr>
        <w:t xml:space="preserve">Skutek wyroku Trybunału Konstytucyjnego </w:t>
      </w:r>
      <w:r w:rsidR="004068BE" w:rsidRPr="00BB48EE">
        <w:rPr>
          <w:rFonts w:ascii="Arial" w:eastAsia="Times New Roman" w:hAnsi="Arial" w:cs="Arial"/>
          <w:b/>
          <w:bCs/>
          <w:sz w:val="19"/>
          <w:szCs w:val="19"/>
        </w:rPr>
        <w:t>wobec orzeczenia</w:t>
      </w:r>
      <w:r w:rsidRPr="00BB48EE">
        <w:rPr>
          <w:rFonts w:ascii="Arial" w:eastAsia="Times New Roman" w:hAnsi="Arial" w:cs="Arial"/>
          <w:b/>
          <w:bCs/>
          <w:sz w:val="19"/>
          <w:szCs w:val="19"/>
        </w:rPr>
        <w:t>, polegające uzupełnieniu</w:t>
      </w:r>
    </w:p>
    <w:p w14:paraId="4A48CDBA" w14:textId="66092CF0" w:rsidR="00DF0879" w:rsidRPr="00BB48EE" w:rsidRDefault="00DF0879" w:rsidP="00265F3F">
      <w:pPr>
        <w:spacing w:line="360" w:lineRule="auto"/>
        <w:jc w:val="both"/>
        <w:rPr>
          <w:rFonts w:ascii="Arial" w:eastAsia="Times New Roman" w:hAnsi="Arial"/>
          <w:sz w:val="19"/>
          <w:szCs w:val="19"/>
        </w:rPr>
      </w:pPr>
    </w:p>
    <w:p w14:paraId="5B34B275" w14:textId="6F0EF0A3" w:rsidR="004B0704" w:rsidRPr="00BB48EE" w:rsidRDefault="00DF0879" w:rsidP="00265F3F">
      <w:pPr>
        <w:spacing w:line="360" w:lineRule="auto"/>
        <w:jc w:val="both"/>
        <w:rPr>
          <w:rFonts w:ascii="Arial" w:eastAsia="Times New Roman" w:hAnsi="Arial"/>
          <w:b/>
          <w:bCs/>
          <w:i/>
          <w:iCs/>
          <w:sz w:val="19"/>
          <w:szCs w:val="19"/>
          <w:u w:val="single"/>
        </w:rPr>
      </w:pPr>
      <w:r w:rsidRPr="00BB48EE">
        <w:rPr>
          <w:rFonts w:ascii="Arial" w:eastAsia="Times New Roman" w:hAnsi="Arial"/>
          <w:sz w:val="19"/>
          <w:szCs w:val="19"/>
        </w:rPr>
        <w:t>Całkowicie nieuzasadniony pozostaje pogląd Sądu I instancji</w:t>
      </w:r>
      <w:r w:rsidR="00681672" w:rsidRPr="00BB48EE">
        <w:rPr>
          <w:rFonts w:ascii="Arial" w:eastAsia="Times New Roman" w:hAnsi="Arial"/>
          <w:sz w:val="19"/>
          <w:szCs w:val="19"/>
        </w:rPr>
        <w:t xml:space="preserve">, że </w:t>
      </w:r>
      <w:r w:rsidRPr="00BB48EE">
        <w:rPr>
          <w:rFonts w:ascii="Arial" w:eastAsia="Times New Roman" w:hAnsi="Arial"/>
          <w:sz w:val="19"/>
          <w:szCs w:val="19"/>
        </w:rPr>
        <w:t xml:space="preserve">orzeczenie sądu niekonstytucyjnego nie aktualizowało konieczności ustalenia dodatkowego wynagrodzenia, jak również, aby nie miało wpływu na prawomocne postanowienie sądowe. Sąd I instancji pomija w tym zakresie jednobrzmiące brzmienie </w:t>
      </w:r>
      <w:r w:rsidRPr="00BB48EE">
        <w:rPr>
          <w:rFonts w:ascii="Arial" w:eastAsia="Times New Roman" w:hAnsi="Arial"/>
          <w:sz w:val="19"/>
          <w:szCs w:val="19"/>
        </w:rPr>
        <w:br/>
        <w:t xml:space="preserve">art. 190 ust. 4 Konstytucji, które </w:t>
      </w:r>
      <w:r w:rsidRPr="00BB48EE">
        <w:rPr>
          <w:rFonts w:ascii="Arial" w:eastAsia="Times New Roman" w:hAnsi="Arial"/>
          <w:b/>
          <w:bCs/>
          <w:sz w:val="19"/>
          <w:szCs w:val="19"/>
        </w:rPr>
        <w:t xml:space="preserve">stanowi o retroaktywnym skutku orzeczenia TK co do orzeczeń opartych </w:t>
      </w:r>
      <w:r w:rsidR="00681672" w:rsidRPr="00BB48EE">
        <w:rPr>
          <w:rFonts w:ascii="Arial" w:eastAsia="Times New Roman" w:hAnsi="Arial"/>
          <w:b/>
          <w:bCs/>
          <w:sz w:val="19"/>
          <w:szCs w:val="19"/>
        </w:rPr>
        <w:t>n</w:t>
      </w:r>
      <w:r w:rsidRPr="00BB48EE">
        <w:rPr>
          <w:rFonts w:ascii="Arial" w:eastAsia="Times New Roman" w:hAnsi="Arial"/>
          <w:b/>
          <w:bCs/>
          <w:sz w:val="19"/>
          <w:szCs w:val="19"/>
        </w:rPr>
        <w:t>a przepisie uznanym za sprzeczny z Konstytucją</w:t>
      </w:r>
      <w:r w:rsidRPr="00BB48EE">
        <w:rPr>
          <w:rFonts w:ascii="Arial" w:eastAsia="Times New Roman" w:hAnsi="Arial"/>
          <w:sz w:val="19"/>
          <w:szCs w:val="19"/>
        </w:rPr>
        <w:t>.</w:t>
      </w:r>
      <w:r w:rsidR="004B0704" w:rsidRPr="00BB48EE">
        <w:rPr>
          <w:rFonts w:ascii="Arial" w:eastAsia="Times New Roman" w:hAnsi="Arial"/>
          <w:sz w:val="19"/>
          <w:szCs w:val="19"/>
        </w:rPr>
        <w:t xml:space="preserve"> </w:t>
      </w:r>
      <w:r w:rsidR="004B0704" w:rsidRPr="00BB48EE">
        <w:rPr>
          <w:rFonts w:ascii="Arial" w:eastAsia="Times New Roman" w:hAnsi="Arial"/>
          <w:b/>
          <w:bCs/>
          <w:sz w:val="19"/>
          <w:szCs w:val="19"/>
        </w:rPr>
        <w:t>O ile orzeczenia TK mają co do zasady moc prawną od dnia ich wydania, o tyle przepis, o który opiera się rozstrzygnięcie pozostaje „bezprawny normatywnie”</w:t>
      </w:r>
      <w:r w:rsidR="004B0704" w:rsidRPr="00BB48EE">
        <w:rPr>
          <w:rFonts w:ascii="Arial" w:eastAsia="Times New Roman" w:hAnsi="Arial"/>
          <w:sz w:val="19"/>
          <w:szCs w:val="19"/>
        </w:rPr>
        <w:t xml:space="preserve">. Jak zauważa prof. M. Safjan (opowiadający się paradoksalnie za poglądem o prospektywności orzeczeń TK): </w:t>
      </w:r>
      <w:r w:rsidR="004B0704" w:rsidRPr="00BB48EE">
        <w:rPr>
          <w:rFonts w:ascii="Arial" w:eastAsia="Times New Roman" w:hAnsi="Arial"/>
          <w:i/>
          <w:iCs/>
          <w:sz w:val="19"/>
          <w:szCs w:val="19"/>
        </w:rPr>
        <w:t>„Bezprawność normatywna w odniesieniu do stanów wcześniejszych (poprzedzających ustalenie niekonstytucyjności przepisu) może natomiast wystąpić przede wszystkim jako efekt retroaktywności orzeczenia sądu konstytucyjnego, a więc w tych wypadkach kiedy konsekwencje orzeczenia powstają w stosunku do stanów wcześniej ukształtowanych</w:t>
      </w:r>
      <w:r w:rsidR="004B0704" w:rsidRPr="00BB48EE">
        <w:rPr>
          <w:rFonts w:ascii="Arial" w:eastAsia="Times New Roman" w:hAnsi="Arial"/>
          <w:sz w:val="19"/>
          <w:szCs w:val="19"/>
        </w:rPr>
        <w:t xml:space="preserve">. </w:t>
      </w:r>
      <w:r w:rsidR="004B0704" w:rsidRPr="00BB48EE">
        <w:rPr>
          <w:rFonts w:ascii="Arial" w:eastAsia="Times New Roman" w:hAnsi="Arial"/>
          <w:b/>
          <w:bCs/>
          <w:i/>
          <w:iCs/>
          <w:sz w:val="19"/>
          <w:szCs w:val="19"/>
          <w:u w:val="single"/>
        </w:rPr>
        <w:t>Konstytucja przewiduje wyraźnie retroaktywne skutki wyroku TK orzekającego o niekonstytucyjności przepisu prawa w zakresie, w jakim umożliwia wznowienie postępowania i w konsekwencji uchylenie aktu stosowania prawa wydanego na podstawie wcześniej obowiązujących przepisów.”</w:t>
      </w:r>
    </w:p>
    <w:p w14:paraId="7BC758FA" w14:textId="77777777" w:rsidR="004068BE" w:rsidRPr="00BB48EE" w:rsidRDefault="004068BE" w:rsidP="00265F3F">
      <w:pPr>
        <w:spacing w:line="360" w:lineRule="auto"/>
        <w:jc w:val="both"/>
        <w:rPr>
          <w:rFonts w:ascii="Arial" w:eastAsia="Times New Roman" w:hAnsi="Arial"/>
          <w:b/>
          <w:bCs/>
          <w:sz w:val="19"/>
          <w:szCs w:val="19"/>
          <w:u w:val="single"/>
        </w:rPr>
      </w:pPr>
    </w:p>
    <w:p w14:paraId="63B10F14" w14:textId="6B08A255" w:rsidR="002A0D8A" w:rsidRPr="00BB48EE" w:rsidRDefault="00DF0879" w:rsidP="00265F3F">
      <w:pPr>
        <w:spacing w:line="360" w:lineRule="auto"/>
        <w:jc w:val="both"/>
        <w:rPr>
          <w:rFonts w:ascii="Arial" w:eastAsia="Times New Roman" w:hAnsi="Arial"/>
          <w:sz w:val="19"/>
          <w:szCs w:val="19"/>
          <w:u w:val="single"/>
        </w:rPr>
      </w:pPr>
      <w:r w:rsidRPr="00BB48EE">
        <w:rPr>
          <w:rFonts w:ascii="Arial" w:eastAsia="Times New Roman" w:hAnsi="Arial"/>
          <w:sz w:val="19"/>
          <w:szCs w:val="19"/>
        </w:rPr>
        <w:t xml:space="preserve">Jakkolwiek art. 190 ust. 4 Konstytucji odnosi się wprost do trybu wznowienia postępowania uregulowanego w art. 540 § 2 kodeksu postępowania karnego, tak też znowu należy zauważyć, że </w:t>
      </w:r>
      <w:r w:rsidR="004B0704" w:rsidRPr="00BB48EE">
        <w:rPr>
          <w:rFonts w:ascii="Arial" w:eastAsia="Times New Roman" w:hAnsi="Arial"/>
          <w:sz w:val="19"/>
          <w:szCs w:val="19"/>
        </w:rPr>
        <w:t xml:space="preserve">zarówno </w:t>
      </w:r>
      <w:r w:rsidR="004B0704" w:rsidRPr="00BB48EE">
        <w:rPr>
          <w:rFonts w:ascii="Arial" w:eastAsia="Times New Roman" w:hAnsi="Arial"/>
          <w:b/>
          <w:bCs/>
          <w:sz w:val="19"/>
          <w:szCs w:val="19"/>
        </w:rPr>
        <w:t>Trybunał Konstytucyjny (SK 78/21)</w:t>
      </w:r>
      <w:r w:rsidR="004B0704" w:rsidRPr="00BB48EE">
        <w:rPr>
          <w:rFonts w:ascii="Arial" w:eastAsia="Times New Roman" w:hAnsi="Arial"/>
          <w:sz w:val="19"/>
          <w:szCs w:val="19"/>
        </w:rPr>
        <w:t xml:space="preserve"> jak też </w:t>
      </w:r>
      <w:r w:rsidRPr="00BB48EE">
        <w:rPr>
          <w:rFonts w:ascii="Arial" w:eastAsia="Times New Roman" w:hAnsi="Arial"/>
          <w:b/>
          <w:bCs/>
          <w:sz w:val="19"/>
          <w:szCs w:val="19"/>
        </w:rPr>
        <w:t>Sąd Najwyższy</w:t>
      </w:r>
      <w:r w:rsidR="00681672" w:rsidRPr="00BB48EE">
        <w:rPr>
          <w:rFonts w:ascii="Arial" w:eastAsia="Times New Roman" w:hAnsi="Arial"/>
          <w:b/>
          <w:bCs/>
          <w:sz w:val="19"/>
          <w:szCs w:val="19"/>
        </w:rPr>
        <w:t xml:space="preserve"> (V KZ 57/20)</w:t>
      </w:r>
      <w:r w:rsidRPr="00BB48EE">
        <w:rPr>
          <w:rFonts w:ascii="Arial" w:eastAsia="Times New Roman" w:hAnsi="Arial"/>
          <w:b/>
          <w:bCs/>
          <w:sz w:val="19"/>
          <w:szCs w:val="19"/>
        </w:rPr>
        <w:t xml:space="preserve"> odesła</w:t>
      </w:r>
      <w:r w:rsidR="004B0704" w:rsidRPr="00BB48EE">
        <w:rPr>
          <w:rFonts w:ascii="Arial" w:eastAsia="Times New Roman" w:hAnsi="Arial"/>
          <w:b/>
          <w:bCs/>
          <w:sz w:val="19"/>
          <w:szCs w:val="19"/>
        </w:rPr>
        <w:t>li</w:t>
      </w:r>
      <w:r w:rsidRPr="00BB48EE">
        <w:rPr>
          <w:rFonts w:ascii="Arial" w:eastAsia="Times New Roman" w:hAnsi="Arial"/>
          <w:b/>
          <w:bCs/>
          <w:sz w:val="19"/>
          <w:szCs w:val="19"/>
        </w:rPr>
        <w:t xml:space="preserve"> w tym zakresie do możliwości </w:t>
      </w:r>
      <w:r w:rsidR="002A0D8A" w:rsidRPr="00BB48EE">
        <w:rPr>
          <w:rFonts w:ascii="Arial" w:eastAsia="Times New Roman" w:hAnsi="Arial"/>
          <w:b/>
          <w:bCs/>
          <w:sz w:val="19"/>
          <w:szCs w:val="19"/>
        </w:rPr>
        <w:br/>
        <w:t xml:space="preserve">i konieczności </w:t>
      </w:r>
      <w:r w:rsidRPr="00BB48EE">
        <w:rPr>
          <w:rFonts w:ascii="Arial" w:eastAsia="Times New Roman" w:hAnsi="Arial"/>
          <w:b/>
          <w:bCs/>
          <w:sz w:val="19"/>
          <w:szCs w:val="19"/>
        </w:rPr>
        <w:t>zastosowania w niniejszym wypadku trybu określonego w art. 626 par. 2 kodeksu postepowania karnego</w:t>
      </w:r>
      <w:r w:rsidRPr="00BB48EE">
        <w:rPr>
          <w:rFonts w:ascii="Arial" w:eastAsia="Times New Roman" w:hAnsi="Arial"/>
          <w:sz w:val="19"/>
          <w:szCs w:val="19"/>
        </w:rPr>
        <w:t xml:space="preserve"> „</w:t>
      </w:r>
      <w:r w:rsidRPr="00BB48EE">
        <w:rPr>
          <w:rFonts w:ascii="Arial" w:eastAsia="Times New Roman" w:hAnsi="Arial"/>
          <w:i/>
          <w:iCs/>
          <w:sz w:val="19"/>
          <w:szCs w:val="19"/>
          <w:u w:val="single"/>
        </w:rPr>
        <w:t xml:space="preserve">powyższa konkluzja nie oznacza jednak, że w każdym przypadku wadliwego, albowiem opartego na przepisie uznanym za niekonstytucyjny, rozstrzygnięcia o kosztach procesu </w:t>
      </w:r>
      <w:r w:rsidR="002A0D8A" w:rsidRPr="00BB48EE">
        <w:rPr>
          <w:rFonts w:ascii="Arial" w:eastAsia="Times New Roman" w:hAnsi="Arial"/>
          <w:i/>
          <w:iCs/>
          <w:sz w:val="19"/>
          <w:szCs w:val="19"/>
          <w:u w:val="single"/>
        </w:rPr>
        <w:br/>
      </w:r>
      <w:r w:rsidRPr="00BB48EE">
        <w:rPr>
          <w:rFonts w:ascii="Arial" w:eastAsia="Times New Roman" w:hAnsi="Arial"/>
          <w:i/>
          <w:iCs/>
          <w:sz w:val="19"/>
          <w:szCs w:val="19"/>
          <w:u w:val="single"/>
        </w:rPr>
        <w:t xml:space="preserve">w sprawie karnej, uzasadnione jest sięganie po nadzwyczajny środek zaskarżenia, jakim jest wznowienie postępowania. Rolą tej instytucji jest bowiem konwalidacja uchybień, które nie mogą zostać naprawione </w:t>
      </w:r>
      <w:r w:rsidR="00E31A52" w:rsidRPr="00BB48EE">
        <w:rPr>
          <w:rFonts w:ascii="Arial" w:eastAsia="Times New Roman" w:hAnsi="Arial"/>
          <w:i/>
          <w:iCs/>
          <w:sz w:val="19"/>
          <w:szCs w:val="19"/>
          <w:u w:val="single"/>
        </w:rPr>
        <w:br/>
      </w:r>
      <w:r w:rsidRPr="00BB48EE">
        <w:rPr>
          <w:rFonts w:ascii="Arial" w:eastAsia="Times New Roman" w:hAnsi="Arial"/>
          <w:i/>
          <w:iCs/>
          <w:sz w:val="19"/>
          <w:szCs w:val="19"/>
          <w:u w:val="single"/>
        </w:rPr>
        <w:t>w zwykłym toku postępowania”</w:t>
      </w:r>
      <w:r w:rsidRPr="00BB48EE">
        <w:rPr>
          <w:rFonts w:ascii="Arial" w:eastAsia="Times New Roman" w:hAnsi="Arial"/>
          <w:sz w:val="19"/>
          <w:szCs w:val="19"/>
          <w:u w:val="single"/>
        </w:rPr>
        <w:t xml:space="preserve">. </w:t>
      </w:r>
    </w:p>
    <w:p w14:paraId="79263938" w14:textId="77777777" w:rsidR="002A0D8A" w:rsidRPr="00BB48EE" w:rsidRDefault="002A0D8A" w:rsidP="00265F3F">
      <w:pPr>
        <w:spacing w:line="360" w:lineRule="auto"/>
        <w:jc w:val="both"/>
        <w:rPr>
          <w:rFonts w:ascii="Arial" w:eastAsia="Times New Roman" w:hAnsi="Arial"/>
          <w:sz w:val="19"/>
          <w:szCs w:val="19"/>
          <w:u w:val="single"/>
        </w:rPr>
      </w:pPr>
    </w:p>
    <w:p w14:paraId="63D7D63A" w14:textId="21FDACFF" w:rsidR="004B0704" w:rsidRDefault="00681672" w:rsidP="00265F3F">
      <w:pPr>
        <w:spacing w:line="360" w:lineRule="auto"/>
        <w:jc w:val="both"/>
        <w:rPr>
          <w:rFonts w:ascii="Arial" w:eastAsia="Times New Roman" w:hAnsi="Arial"/>
          <w:sz w:val="19"/>
          <w:szCs w:val="19"/>
        </w:rPr>
      </w:pPr>
      <w:r w:rsidRPr="00BB48EE">
        <w:rPr>
          <w:rFonts w:ascii="Arial" w:eastAsia="Times New Roman" w:hAnsi="Arial"/>
          <w:sz w:val="19"/>
          <w:szCs w:val="19"/>
        </w:rPr>
        <w:t>Tryb z art. 540 § 2 kodeksu postępowania karnego</w:t>
      </w:r>
      <w:r w:rsidR="004B0704" w:rsidRPr="00BB48EE">
        <w:rPr>
          <w:rFonts w:ascii="Arial" w:eastAsia="Times New Roman" w:hAnsi="Arial"/>
          <w:sz w:val="19"/>
          <w:szCs w:val="19"/>
        </w:rPr>
        <w:t>, stosowany samodzielnie,</w:t>
      </w:r>
      <w:r w:rsidRPr="00BB48EE">
        <w:rPr>
          <w:rFonts w:ascii="Arial" w:eastAsia="Times New Roman" w:hAnsi="Arial"/>
          <w:sz w:val="19"/>
          <w:szCs w:val="19"/>
        </w:rPr>
        <w:t xml:space="preserve"> jest o tyle kontrowersyjny, </w:t>
      </w:r>
      <w:r w:rsidR="002A0D8A" w:rsidRPr="00BB48EE">
        <w:rPr>
          <w:rFonts w:ascii="Arial" w:eastAsia="Times New Roman" w:hAnsi="Arial"/>
          <w:sz w:val="19"/>
          <w:szCs w:val="19"/>
        </w:rPr>
        <w:br/>
      </w:r>
      <w:r w:rsidRPr="00BB48EE">
        <w:rPr>
          <w:rFonts w:ascii="Arial" w:eastAsia="Times New Roman" w:hAnsi="Arial"/>
          <w:sz w:val="19"/>
          <w:szCs w:val="19"/>
        </w:rPr>
        <w:t>że odsyła do możliwości wznowienia postępowania przez strony. Jakkolwiek obrońca nie jest stron</w:t>
      </w:r>
      <w:r w:rsidR="002A0D8A" w:rsidRPr="00BB48EE">
        <w:rPr>
          <w:rFonts w:ascii="Arial" w:eastAsia="Times New Roman" w:hAnsi="Arial"/>
          <w:sz w:val="19"/>
          <w:szCs w:val="19"/>
        </w:rPr>
        <w:t>ą</w:t>
      </w:r>
      <w:r w:rsidRPr="00BB48EE">
        <w:rPr>
          <w:rFonts w:ascii="Arial" w:eastAsia="Times New Roman" w:hAnsi="Arial"/>
          <w:sz w:val="19"/>
          <w:szCs w:val="19"/>
        </w:rPr>
        <w:t xml:space="preserve"> postępowania, niewątpliwie postanowienie w przedmiocie kosztów, wyrzeka o jego prawach i obowiązkach uzasadniając interes prawny w zakresie niniejszego wniosku. Odmienny pogląd, uniemożliwiałby de facto stosowanie art. 190 ust. 4 Konstytucji w stosunku do osób innych aniżeli strony postępowania, których naruszenie praw zostało wprost stwierdzone orzeczeniem sądu konstytucyjnego. Eliminowałoby to </w:t>
      </w:r>
      <w:r w:rsidR="004B0704" w:rsidRPr="00BB48EE">
        <w:rPr>
          <w:rFonts w:ascii="Arial" w:eastAsia="Times New Roman" w:hAnsi="Arial"/>
          <w:sz w:val="19"/>
          <w:szCs w:val="19"/>
        </w:rPr>
        <w:t xml:space="preserve">podstawowy </w:t>
      </w:r>
      <w:r w:rsidRPr="00BB48EE">
        <w:rPr>
          <w:rFonts w:ascii="Arial" w:eastAsia="Times New Roman" w:hAnsi="Arial"/>
          <w:sz w:val="19"/>
          <w:szCs w:val="19"/>
        </w:rPr>
        <w:t xml:space="preserve">sens </w:t>
      </w:r>
      <w:r w:rsidR="004B0704" w:rsidRPr="00BB48EE">
        <w:rPr>
          <w:rFonts w:ascii="Arial" w:eastAsia="Times New Roman" w:hAnsi="Arial"/>
          <w:sz w:val="19"/>
          <w:szCs w:val="19"/>
        </w:rPr>
        <w:t xml:space="preserve">istnienia </w:t>
      </w:r>
      <w:r w:rsidRPr="00BB48EE">
        <w:rPr>
          <w:rFonts w:ascii="Arial" w:eastAsia="Times New Roman" w:hAnsi="Arial"/>
          <w:sz w:val="19"/>
          <w:szCs w:val="19"/>
        </w:rPr>
        <w:t>przepisu art. 190 ust. 4 Konstytucji</w:t>
      </w:r>
      <w:r w:rsidR="002A0D8A" w:rsidRPr="00BB48EE">
        <w:rPr>
          <w:rFonts w:ascii="Arial" w:eastAsia="Times New Roman" w:hAnsi="Arial"/>
          <w:sz w:val="19"/>
          <w:szCs w:val="19"/>
        </w:rPr>
        <w:t xml:space="preserve"> RP. </w:t>
      </w:r>
    </w:p>
    <w:p w14:paraId="4C360D00" w14:textId="77777777" w:rsidR="00FE6EC8" w:rsidRDefault="00FE6EC8" w:rsidP="00265F3F">
      <w:pPr>
        <w:spacing w:line="360" w:lineRule="auto"/>
        <w:jc w:val="both"/>
        <w:rPr>
          <w:rFonts w:ascii="Arial" w:eastAsia="Times New Roman" w:hAnsi="Arial"/>
          <w:sz w:val="19"/>
          <w:szCs w:val="19"/>
        </w:rPr>
      </w:pPr>
    </w:p>
    <w:p w14:paraId="4B390FB2" w14:textId="77777777" w:rsidR="00FE6EC8" w:rsidRDefault="00FE6EC8" w:rsidP="00265F3F">
      <w:pPr>
        <w:spacing w:line="360" w:lineRule="auto"/>
        <w:jc w:val="both"/>
        <w:rPr>
          <w:rFonts w:ascii="Arial" w:eastAsia="Times New Roman" w:hAnsi="Arial"/>
          <w:sz w:val="19"/>
          <w:szCs w:val="19"/>
        </w:rPr>
      </w:pPr>
    </w:p>
    <w:p w14:paraId="37597A5F" w14:textId="77777777" w:rsidR="00FE6EC8" w:rsidRDefault="00FE6EC8" w:rsidP="00265F3F">
      <w:pPr>
        <w:spacing w:line="360" w:lineRule="auto"/>
        <w:jc w:val="both"/>
        <w:rPr>
          <w:rFonts w:ascii="Arial" w:eastAsia="Times New Roman" w:hAnsi="Arial"/>
          <w:sz w:val="19"/>
          <w:szCs w:val="19"/>
        </w:rPr>
      </w:pPr>
    </w:p>
    <w:p w14:paraId="03A7B4F3" w14:textId="77777777" w:rsidR="00FE6EC8" w:rsidRDefault="00FE6EC8" w:rsidP="00265F3F">
      <w:pPr>
        <w:spacing w:line="360" w:lineRule="auto"/>
        <w:jc w:val="both"/>
        <w:rPr>
          <w:rFonts w:ascii="Arial" w:eastAsia="Times New Roman" w:hAnsi="Arial"/>
          <w:sz w:val="19"/>
          <w:szCs w:val="19"/>
        </w:rPr>
      </w:pPr>
    </w:p>
    <w:p w14:paraId="3FC5E776" w14:textId="77777777" w:rsidR="00FE6EC8" w:rsidRPr="00BB48EE" w:rsidRDefault="00FE6EC8" w:rsidP="00265F3F">
      <w:pPr>
        <w:spacing w:line="360" w:lineRule="auto"/>
        <w:jc w:val="both"/>
        <w:rPr>
          <w:rFonts w:ascii="Arial" w:eastAsia="Times New Roman" w:hAnsi="Arial"/>
          <w:sz w:val="19"/>
          <w:szCs w:val="19"/>
        </w:rPr>
      </w:pPr>
    </w:p>
    <w:p w14:paraId="0E9765EE" w14:textId="3D73A853" w:rsidR="004B0704" w:rsidRPr="00BB48EE" w:rsidRDefault="004B0704" w:rsidP="00265F3F">
      <w:pPr>
        <w:spacing w:line="360" w:lineRule="auto"/>
        <w:jc w:val="both"/>
        <w:rPr>
          <w:rFonts w:ascii="Arial" w:eastAsia="Times New Roman" w:hAnsi="Arial"/>
          <w:sz w:val="19"/>
          <w:szCs w:val="19"/>
        </w:rPr>
      </w:pPr>
    </w:p>
    <w:p w14:paraId="190D46FB" w14:textId="45582195" w:rsidR="00845AC8" w:rsidRPr="00BB48EE" w:rsidRDefault="00845AC8" w:rsidP="00265F3F">
      <w:pPr>
        <w:pStyle w:val="Akapitzlist"/>
        <w:numPr>
          <w:ilvl w:val="0"/>
          <w:numId w:val="21"/>
        </w:numPr>
        <w:spacing w:line="360" w:lineRule="auto"/>
        <w:jc w:val="both"/>
        <w:rPr>
          <w:rFonts w:ascii="Arial" w:eastAsia="Times New Roman" w:hAnsi="Arial" w:cs="Arial"/>
          <w:b/>
          <w:bCs/>
          <w:sz w:val="19"/>
          <w:szCs w:val="19"/>
        </w:rPr>
      </w:pPr>
      <w:r w:rsidRPr="00BB48EE">
        <w:rPr>
          <w:rFonts w:ascii="Arial" w:eastAsia="Times New Roman" w:hAnsi="Arial" w:cs="Arial"/>
          <w:b/>
          <w:bCs/>
          <w:sz w:val="19"/>
          <w:szCs w:val="19"/>
        </w:rPr>
        <w:lastRenderedPageBreak/>
        <w:t>Brak obalenia „domniemania konstytucyjności” w zakresie przepisów rozporządzenia innych aniżeli § 17 ust. 1 pkt 2 oraz § 17 ust. 2 pkt 3 rozporządzenia Ministra Sprawiedliwości z dnia 3 października 2016 r. w sprawie ponoszenia przez Skarb Państwa kosztów nieopłaconej pomocy prawnej udzielonej przez adwokata z urzędu</w:t>
      </w:r>
    </w:p>
    <w:p w14:paraId="26E5A561" w14:textId="77777777" w:rsidR="00845AC8" w:rsidRPr="00BB48EE" w:rsidRDefault="00845AC8" w:rsidP="00265F3F">
      <w:pPr>
        <w:spacing w:line="360" w:lineRule="auto"/>
        <w:jc w:val="both"/>
        <w:rPr>
          <w:rFonts w:ascii="Arial" w:eastAsia="Times New Roman" w:hAnsi="Arial"/>
          <w:sz w:val="19"/>
          <w:szCs w:val="19"/>
        </w:rPr>
      </w:pPr>
    </w:p>
    <w:p w14:paraId="7C8D8D87" w14:textId="75027FEC" w:rsidR="00681672" w:rsidRPr="00BB48EE" w:rsidRDefault="004B0704" w:rsidP="00265F3F">
      <w:pPr>
        <w:spacing w:line="360" w:lineRule="auto"/>
        <w:jc w:val="both"/>
        <w:rPr>
          <w:rFonts w:ascii="Arial" w:eastAsia="Times New Roman" w:hAnsi="Arial"/>
          <w:sz w:val="19"/>
          <w:szCs w:val="19"/>
        </w:rPr>
      </w:pPr>
      <w:r w:rsidRPr="00BB48EE">
        <w:rPr>
          <w:rFonts w:ascii="Arial" w:eastAsia="Times New Roman" w:hAnsi="Arial"/>
          <w:sz w:val="19"/>
          <w:szCs w:val="19"/>
        </w:rPr>
        <w:t xml:space="preserve">W tym miejscu wypada odnieść się także do poglądu Sądu I instancji, że orzeczenie Trybunału Konstytucyjnego dotyczy tylko konkretnych jednostek redakcyjnych rozporządzenia tj. </w:t>
      </w:r>
      <w:r w:rsidR="00845AC8" w:rsidRPr="00BB48EE">
        <w:rPr>
          <w:rFonts w:ascii="Arial" w:eastAsia="Times New Roman" w:hAnsi="Arial"/>
          <w:sz w:val="19"/>
          <w:szCs w:val="19"/>
        </w:rPr>
        <w:t>§ 17 ust. 1 pkt 2 oraz § 17 ust. 2 pkt 3 rozporządzenia Ministra Sprawiedliwości z dnia 3 października 2016 r. w sprawie ponoszenia przez Skarb Państwa kosztów nieopłaconej pomocy prawnej udzielonej przez adwokata z urzędu.</w:t>
      </w:r>
    </w:p>
    <w:p w14:paraId="7BF27159" w14:textId="1EF363D6" w:rsidR="00845AC8" w:rsidRPr="00BB48EE" w:rsidRDefault="00845AC8" w:rsidP="00265F3F">
      <w:pPr>
        <w:spacing w:line="360" w:lineRule="auto"/>
        <w:jc w:val="both"/>
        <w:rPr>
          <w:rFonts w:ascii="Arial" w:eastAsia="Times New Roman" w:hAnsi="Arial"/>
          <w:sz w:val="19"/>
          <w:szCs w:val="19"/>
        </w:rPr>
      </w:pPr>
    </w:p>
    <w:p w14:paraId="0DC62114" w14:textId="264D6120" w:rsidR="00845AC8" w:rsidRPr="00BB48EE" w:rsidRDefault="00845AC8" w:rsidP="00265F3F">
      <w:pPr>
        <w:spacing w:line="360" w:lineRule="auto"/>
        <w:jc w:val="both"/>
        <w:rPr>
          <w:rFonts w:ascii="Arial" w:eastAsia="Times New Roman" w:hAnsi="Arial"/>
          <w:sz w:val="19"/>
          <w:szCs w:val="19"/>
        </w:rPr>
      </w:pPr>
      <w:r w:rsidRPr="00BB48EE">
        <w:rPr>
          <w:rFonts w:ascii="Arial" w:eastAsia="Times New Roman" w:hAnsi="Arial"/>
          <w:sz w:val="19"/>
          <w:szCs w:val="19"/>
        </w:rPr>
        <w:t>Prezentowany przez Sąd I instancji pogląd jest oczywiście błędny, albowiem Trybunał Konstytucyjny</w:t>
      </w:r>
      <w:r w:rsidRPr="00BB48EE">
        <w:rPr>
          <w:rFonts w:ascii="Arial" w:eastAsia="Times New Roman" w:hAnsi="Arial"/>
          <w:sz w:val="19"/>
          <w:szCs w:val="19"/>
        </w:rPr>
        <w:br/>
        <w:t xml:space="preserve">orzeka o sprzeczności z Konstytucją Rzeczpospolitej określonej normy prawnej, nie natomiast jednostki redakcyjnej, w której ta norma się znajduje. Orzeczenie Trybunału Konstytucyjnego z dnia 20 grudnia 2022 roku odnosiło się </w:t>
      </w:r>
      <w:r w:rsidR="002A0D8A" w:rsidRPr="00BB48EE">
        <w:rPr>
          <w:rFonts w:ascii="Arial" w:eastAsia="Times New Roman" w:hAnsi="Arial"/>
          <w:sz w:val="19"/>
          <w:szCs w:val="19"/>
        </w:rPr>
        <w:t>d</w:t>
      </w:r>
      <w:r w:rsidRPr="00BB48EE">
        <w:rPr>
          <w:rFonts w:ascii="Arial" w:eastAsia="Times New Roman" w:hAnsi="Arial"/>
          <w:sz w:val="19"/>
          <w:szCs w:val="19"/>
        </w:rPr>
        <w:t xml:space="preserve">o zastosowanego w aktualnym rozporządzeniu Ministra Sprawiedliwości z dnia </w:t>
      </w:r>
      <w:r w:rsidRPr="00BB48EE">
        <w:rPr>
          <w:rFonts w:ascii="Arial" w:eastAsia="Times New Roman" w:hAnsi="Arial"/>
          <w:sz w:val="19"/>
          <w:szCs w:val="19"/>
        </w:rPr>
        <w:br/>
        <w:t xml:space="preserve">3 października 2016 r. w sprawie ponoszenia przez Skarb Państwa kosztów nieopłaconej pomocy prawnej udzielonej przez adwokata z urzędu </w:t>
      </w:r>
      <w:r w:rsidRPr="00BB48EE">
        <w:rPr>
          <w:rFonts w:ascii="Arial" w:eastAsia="Times New Roman" w:hAnsi="Arial"/>
          <w:b/>
          <w:bCs/>
          <w:sz w:val="19"/>
          <w:szCs w:val="19"/>
        </w:rPr>
        <w:t xml:space="preserve">mechanizmu różnicowania wynagrodzenia obrońcy z urzędu oraz </w:t>
      </w:r>
      <w:r w:rsidRPr="00BB48EE">
        <w:rPr>
          <w:rFonts w:ascii="Arial" w:eastAsia="Times New Roman" w:hAnsi="Arial"/>
          <w:b/>
          <w:bCs/>
          <w:sz w:val="19"/>
          <w:szCs w:val="19"/>
        </w:rPr>
        <w:br/>
        <w:t xml:space="preserve">z obrońcy z wyboru. </w:t>
      </w:r>
      <w:r w:rsidRPr="00BB48EE">
        <w:rPr>
          <w:rFonts w:ascii="Arial" w:eastAsia="Times New Roman" w:hAnsi="Arial"/>
          <w:sz w:val="19"/>
          <w:szCs w:val="19"/>
        </w:rPr>
        <w:t xml:space="preserve">Trybunał jednoznacznie uznał, że różnicowanie takie jest niedopuszczalne, natomiast akt prawny dotknięty jest wadą prawną. Wobec powyższego w dniu 20 grudnia 2022 roku wydane zostało postanowienie sygnalizacyjne, w oparciu o której Minister Sprawiedliwości ma obowiązek usunięcia bezprawności rozporządzenia nie tylko w zakresie przepisów § 17 ust. 1 pkt 2 oraz § 17 ust. 2 pkt 3, </w:t>
      </w:r>
      <w:r w:rsidRPr="00BB48EE">
        <w:rPr>
          <w:rFonts w:ascii="Arial" w:eastAsia="Times New Roman" w:hAnsi="Arial"/>
          <w:b/>
          <w:bCs/>
          <w:sz w:val="19"/>
          <w:szCs w:val="19"/>
        </w:rPr>
        <w:t>ale także wszystkich pozostałych przepisów w/w rozporządzenia</w:t>
      </w:r>
      <w:r w:rsidRPr="00BB48EE">
        <w:rPr>
          <w:rFonts w:ascii="Arial" w:eastAsia="Times New Roman" w:hAnsi="Arial"/>
          <w:sz w:val="19"/>
          <w:szCs w:val="19"/>
        </w:rPr>
        <w:t xml:space="preserve">, </w:t>
      </w:r>
      <w:r w:rsidRPr="00BB48EE">
        <w:rPr>
          <w:rFonts w:ascii="Arial" w:eastAsia="Times New Roman" w:hAnsi="Arial"/>
          <w:b/>
          <w:bCs/>
          <w:sz w:val="19"/>
          <w:szCs w:val="19"/>
        </w:rPr>
        <w:t>różnicujących sytuację prawną pełnomocnika z urzędu oraz pełnomocnika z wyboru.</w:t>
      </w:r>
    </w:p>
    <w:p w14:paraId="5A907462" w14:textId="77777777" w:rsidR="002A0D8A" w:rsidRPr="00BB48EE" w:rsidRDefault="002A0D8A" w:rsidP="00265F3F">
      <w:pPr>
        <w:spacing w:line="360" w:lineRule="auto"/>
        <w:jc w:val="both"/>
        <w:rPr>
          <w:rFonts w:ascii="Arial" w:eastAsia="Times New Roman" w:hAnsi="Arial"/>
          <w:sz w:val="19"/>
          <w:szCs w:val="19"/>
        </w:rPr>
      </w:pPr>
    </w:p>
    <w:p w14:paraId="0DA13B19" w14:textId="48772C9C" w:rsidR="00845AC8" w:rsidRPr="00BB48EE" w:rsidRDefault="00845AC8" w:rsidP="00265F3F">
      <w:pPr>
        <w:spacing w:line="360" w:lineRule="auto"/>
        <w:jc w:val="both"/>
        <w:rPr>
          <w:rFonts w:ascii="Arial" w:eastAsia="Times New Roman" w:hAnsi="Arial"/>
          <w:sz w:val="19"/>
          <w:szCs w:val="19"/>
        </w:rPr>
      </w:pPr>
      <w:r w:rsidRPr="00BB48EE">
        <w:rPr>
          <w:rFonts w:ascii="Arial" w:eastAsia="Times New Roman" w:hAnsi="Arial"/>
          <w:sz w:val="19"/>
          <w:szCs w:val="19"/>
        </w:rPr>
        <w:t xml:space="preserve">Niezależnie od powyższego należy podkreślić, że sąd orzekający </w:t>
      </w:r>
      <w:r w:rsidRPr="00BB48EE">
        <w:rPr>
          <w:rFonts w:ascii="Arial" w:eastAsia="Times New Roman" w:hAnsi="Arial"/>
          <w:b/>
          <w:bCs/>
          <w:sz w:val="19"/>
          <w:szCs w:val="19"/>
        </w:rPr>
        <w:t xml:space="preserve">nie jest związany treścią przepisu rangi podustawowej, natomiast jego rolą i obowiązkiem jest kontrola legalności </w:t>
      </w:r>
      <w:r w:rsidR="004068BE" w:rsidRPr="00BB48EE">
        <w:rPr>
          <w:rFonts w:ascii="Arial" w:eastAsia="Times New Roman" w:hAnsi="Arial"/>
          <w:b/>
          <w:bCs/>
          <w:sz w:val="19"/>
          <w:szCs w:val="19"/>
        </w:rPr>
        <w:t>przepisów takiego</w:t>
      </w:r>
      <w:r w:rsidRPr="00BB48EE">
        <w:rPr>
          <w:rFonts w:ascii="Arial" w:eastAsia="Times New Roman" w:hAnsi="Arial"/>
          <w:b/>
          <w:bCs/>
          <w:sz w:val="19"/>
          <w:szCs w:val="19"/>
        </w:rPr>
        <w:t xml:space="preserve"> rozporządzenia. </w:t>
      </w:r>
      <w:r w:rsidRPr="00BB48EE">
        <w:rPr>
          <w:rFonts w:ascii="Arial" w:eastAsia="Times New Roman" w:hAnsi="Arial"/>
          <w:sz w:val="19"/>
          <w:szCs w:val="19"/>
        </w:rPr>
        <w:t>Mowa tutaj nawet nie o konstrukcji rozproszonej kontroli konstytucyjności</w:t>
      </w:r>
      <w:r w:rsidR="004068BE" w:rsidRPr="00BB48EE">
        <w:rPr>
          <w:rFonts w:ascii="Arial" w:eastAsia="Times New Roman" w:hAnsi="Arial"/>
          <w:sz w:val="19"/>
          <w:szCs w:val="19"/>
        </w:rPr>
        <w:t xml:space="preserve"> (możliwości ustalania przez sąd sprzeczności konkretnych norm rozporządzenia z normami rangi konstytucyjnej)</w:t>
      </w:r>
      <w:r w:rsidRPr="00BB48EE">
        <w:rPr>
          <w:rFonts w:ascii="Arial" w:eastAsia="Times New Roman" w:hAnsi="Arial"/>
          <w:sz w:val="19"/>
          <w:szCs w:val="19"/>
        </w:rPr>
        <w:t xml:space="preserve">, natomiast </w:t>
      </w:r>
      <w:r w:rsidR="004068BE" w:rsidRPr="00BB48EE">
        <w:rPr>
          <w:rFonts w:ascii="Arial" w:eastAsia="Times New Roman" w:hAnsi="Arial"/>
          <w:sz w:val="19"/>
          <w:szCs w:val="19"/>
        </w:rPr>
        <w:t xml:space="preserve">o dokonywanej w procesie stosowania prawa kontroli braku ustawowej podstawy </w:t>
      </w:r>
      <w:r w:rsidR="002A0D8A" w:rsidRPr="00BB48EE">
        <w:rPr>
          <w:rFonts w:ascii="Arial" w:eastAsia="Times New Roman" w:hAnsi="Arial"/>
          <w:sz w:val="19"/>
          <w:szCs w:val="19"/>
        </w:rPr>
        <w:br/>
      </w:r>
      <w:r w:rsidR="004068BE" w:rsidRPr="00BB48EE">
        <w:rPr>
          <w:rFonts w:ascii="Arial" w:eastAsia="Times New Roman" w:hAnsi="Arial"/>
          <w:sz w:val="19"/>
          <w:szCs w:val="19"/>
        </w:rPr>
        <w:t xml:space="preserve">dla dyskryminacji </w:t>
      </w:r>
      <w:r w:rsidRPr="00BB48EE">
        <w:rPr>
          <w:rFonts w:ascii="Arial" w:eastAsia="Times New Roman" w:hAnsi="Arial"/>
          <w:sz w:val="19"/>
          <w:szCs w:val="19"/>
        </w:rPr>
        <w:t>sytuacji obrońców z urzędu i z wyboru</w:t>
      </w:r>
      <w:r w:rsidR="004068BE" w:rsidRPr="00BB48EE">
        <w:rPr>
          <w:rFonts w:ascii="Arial" w:eastAsia="Times New Roman" w:hAnsi="Arial"/>
          <w:sz w:val="19"/>
          <w:szCs w:val="19"/>
        </w:rPr>
        <w:t>. Takie rozróżnienie</w:t>
      </w:r>
      <w:r w:rsidRPr="00BB48EE">
        <w:rPr>
          <w:rFonts w:ascii="Arial" w:eastAsia="Times New Roman" w:hAnsi="Arial"/>
          <w:sz w:val="19"/>
          <w:szCs w:val="19"/>
        </w:rPr>
        <w:t xml:space="preserve"> jest niedopuszczalne i nie znajduje jakie</w:t>
      </w:r>
      <w:r w:rsidR="002A0D8A" w:rsidRPr="00BB48EE">
        <w:rPr>
          <w:rFonts w:ascii="Arial" w:eastAsia="Times New Roman" w:hAnsi="Arial"/>
          <w:sz w:val="19"/>
          <w:szCs w:val="19"/>
        </w:rPr>
        <w:t>go</w:t>
      </w:r>
      <w:r w:rsidRPr="00BB48EE">
        <w:rPr>
          <w:rFonts w:ascii="Arial" w:eastAsia="Times New Roman" w:hAnsi="Arial"/>
          <w:sz w:val="19"/>
          <w:szCs w:val="19"/>
        </w:rPr>
        <w:t>kol</w:t>
      </w:r>
      <w:r w:rsidR="002A0D8A" w:rsidRPr="00BB48EE">
        <w:rPr>
          <w:rFonts w:ascii="Arial" w:eastAsia="Times New Roman" w:hAnsi="Arial"/>
          <w:sz w:val="19"/>
          <w:szCs w:val="19"/>
        </w:rPr>
        <w:t xml:space="preserve">wiek uzasadnienia </w:t>
      </w:r>
      <w:r w:rsidRPr="00BB48EE">
        <w:rPr>
          <w:rFonts w:ascii="Arial" w:eastAsia="Times New Roman" w:hAnsi="Arial"/>
          <w:sz w:val="19"/>
          <w:szCs w:val="19"/>
        </w:rPr>
        <w:t xml:space="preserve">w przepisach prawa o adwokaturze (art. 29 ust. 2 prawa </w:t>
      </w:r>
      <w:r w:rsidR="002A0D8A" w:rsidRPr="00BB48EE">
        <w:rPr>
          <w:rFonts w:ascii="Arial" w:eastAsia="Times New Roman" w:hAnsi="Arial"/>
          <w:sz w:val="19"/>
          <w:szCs w:val="19"/>
        </w:rPr>
        <w:br/>
      </w:r>
      <w:r w:rsidRPr="00BB48EE">
        <w:rPr>
          <w:rFonts w:ascii="Arial" w:eastAsia="Times New Roman" w:hAnsi="Arial"/>
          <w:sz w:val="19"/>
          <w:szCs w:val="19"/>
        </w:rPr>
        <w:t xml:space="preserve">o adwokaturze).  </w:t>
      </w:r>
      <w:r w:rsidR="004068BE" w:rsidRPr="00BB48EE">
        <w:rPr>
          <w:rFonts w:ascii="Arial" w:eastAsia="Times New Roman" w:hAnsi="Arial"/>
          <w:sz w:val="19"/>
          <w:szCs w:val="19"/>
        </w:rPr>
        <w:t>Nie budzi także wątpliwości sama sprzeczność przepisu z normą ustawową i konstytucyjną, mając na uwadze brak jakiejkolwiek podstawy rozróżnienia wynagrodzenia pomiędzy obrońcą z urzędu oraz obrońcą wyboru,  z uwagi na identyczny zakres nakładu pracy oraz brak podstaw normatywnych takiego rozróżnienia, jak również przekroczenie przez Ministra Sprawiedliwości zakresu delegacji ustawowej przy wydawaniu rozporządzenia. Powyższe potwierdzają liczne przykłady orzecznicze (tak m.in.: postanowienie SN z dn. 15.12.2021, V KK 549/20, postanowienia SA w Krakowie, z dn. 8.07.2021 r. II AKz 423/21, z dn. 11.02.2021 r. II AKz 824/20, z dn. 08.07.2021 r. II Akz 423/21)</w:t>
      </w:r>
    </w:p>
    <w:p w14:paraId="79DC48DC" w14:textId="12E41171" w:rsidR="00845AC8" w:rsidRPr="00BB48EE" w:rsidRDefault="00845AC8" w:rsidP="00265F3F">
      <w:pPr>
        <w:spacing w:line="360" w:lineRule="auto"/>
        <w:jc w:val="both"/>
        <w:rPr>
          <w:rFonts w:ascii="Arial" w:eastAsia="Times New Roman" w:hAnsi="Arial"/>
          <w:sz w:val="19"/>
          <w:szCs w:val="19"/>
        </w:rPr>
      </w:pPr>
    </w:p>
    <w:p w14:paraId="527DD6B8" w14:textId="0C8E75CB" w:rsidR="00845AC8" w:rsidRPr="00BB48EE" w:rsidRDefault="00845AC8" w:rsidP="00265F3F">
      <w:pPr>
        <w:spacing w:line="360" w:lineRule="auto"/>
        <w:jc w:val="both"/>
        <w:rPr>
          <w:rFonts w:ascii="Arial" w:eastAsia="Times New Roman" w:hAnsi="Arial"/>
          <w:sz w:val="19"/>
          <w:szCs w:val="19"/>
          <w:u w:val="single"/>
        </w:rPr>
      </w:pPr>
      <w:r w:rsidRPr="00BB48EE">
        <w:rPr>
          <w:rFonts w:ascii="Arial" w:eastAsia="Times New Roman" w:hAnsi="Arial"/>
          <w:sz w:val="19"/>
          <w:szCs w:val="19"/>
        </w:rPr>
        <w:t xml:space="preserve">W tym miejscu przywołać należy, że podstawa, jak też dopuszczalność </w:t>
      </w:r>
      <w:r w:rsidR="004068BE" w:rsidRPr="00BB48EE">
        <w:rPr>
          <w:rFonts w:ascii="Arial" w:eastAsia="Times New Roman" w:hAnsi="Arial"/>
          <w:sz w:val="19"/>
          <w:szCs w:val="19"/>
        </w:rPr>
        <w:t xml:space="preserve">złożenia wniosku o uzupełnienie postanowienia, w zakresie przepisów, których nie dotyczyło wprost przywołane orzeczenie Trybunału Konstytucyjnego, </w:t>
      </w:r>
      <w:r w:rsidRPr="00BB48EE">
        <w:rPr>
          <w:rFonts w:ascii="Arial" w:eastAsia="Times New Roman" w:hAnsi="Arial"/>
          <w:sz w:val="19"/>
          <w:szCs w:val="19"/>
        </w:rPr>
        <w:t>został</w:t>
      </w:r>
      <w:r w:rsidR="004068BE" w:rsidRPr="00BB48EE">
        <w:rPr>
          <w:rFonts w:ascii="Arial" w:eastAsia="Times New Roman" w:hAnsi="Arial"/>
          <w:sz w:val="19"/>
          <w:szCs w:val="19"/>
        </w:rPr>
        <w:t>o</w:t>
      </w:r>
      <w:r w:rsidRPr="00BB48EE">
        <w:rPr>
          <w:rFonts w:ascii="Arial" w:eastAsia="Times New Roman" w:hAnsi="Arial"/>
          <w:sz w:val="19"/>
          <w:szCs w:val="19"/>
        </w:rPr>
        <w:t xml:space="preserve"> potwierdzon</w:t>
      </w:r>
      <w:r w:rsidR="004068BE" w:rsidRPr="00BB48EE">
        <w:rPr>
          <w:rFonts w:ascii="Arial" w:eastAsia="Times New Roman" w:hAnsi="Arial"/>
          <w:sz w:val="19"/>
          <w:szCs w:val="19"/>
        </w:rPr>
        <w:t>e</w:t>
      </w:r>
      <w:r w:rsidRPr="00BB48EE">
        <w:rPr>
          <w:rFonts w:ascii="Arial" w:eastAsia="Times New Roman" w:hAnsi="Arial"/>
          <w:sz w:val="19"/>
          <w:szCs w:val="19"/>
        </w:rPr>
        <w:t xml:space="preserve"> orzeczeniami m.in. Sądu Okręgowego w Krakowie z dnia 12 stycznia 2023 roku (IV Ka 1471/21), 23 stycznia 2023 roku (IV Ka 875/22) w uzasadnieniu którego wskazano, że wniosek obrońcy jest „</w:t>
      </w:r>
      <w:r w:rsidRPr="00BB48EE">
        <w:rPr>
          <w:rFonts w:ascii="Arial" w:eastAsia="Times New Roman" w:hAnsi="Arial"/>
          <w:b/>
          <w:bCs/>
          <w:sz w:val="19"/>
          <w:szCs w:val="19"/>
        </w:rPr>
        <w:t>ze wszech miar zasadny</w:t>
      </w:r>
      <w:r w:rsidRPr="00BB48EE">
        <w:rPr>
          <w:rFonts w:ascii="Arial" w:eastAsia="Times New Roman" w:hAnsi="Arial"/>
          <w:sz w:val="19"/>
          <w:szCs w:val="19"/>
        </w:rPr>
        <w:t>”</w:t>
      </w:r>
      <w:r w:rsidR="004068BE" w:rsidRPr="00BB48EE">
        <w:rPr>
          <w:rFonts w:ascii="Arial" w:eastAsia="Times New Roman" w:hAnsi="Arial"/>
          <w:b/>
          <w:bCs/>
          <w:sz w:val="19"/>
          <w:szCs w:val="19"/>
        </w:rPr>
        <w:t xml:space="preserve">. </w:t>
      </w:r>
      <w:r w:rsidR="004068BE" w:rsidRPr="00BB48EE">
        <w:rPr>
          <w:rFonts w:ascii="Arial" w:eastAsia="Times New Roman" w:hAnsi="Arial"/>
          <w:sz w:val="19"/>
          <w:szCs w:val="19"/>
        </w:rPr>
        <w:t xml:space="preserve">Orzeczenia te odnosiły się wprost do wynagrodzenia obrońcy przed Sądem II instancji (tj. par. 17 ust. 2 pkt. 4 rozporządzenia) </w:t>
      </w:r>
    </w:p>
    <w:p w14:paraId="07BE7D8D" w14:textId="31E33C47" w:rsidR="00DF0879" w:rsidRPr="00BB48EE" w:rsidRDefault="00DF0879" w:rsidP="00265F3F">
      <w:pPr>
        <w:spacing w:line="360" w:lineRule="auto"/>
        <w:jc w:val="both"/>
        <w:rPr>
          <w:rFonts w:ascii="Arial" w:eastAsia="Times New Roman" w:hAnsi="Arial"/>
          <w:sz w:val="19"/>
          <w:szCs w:val="19"/>
        </w:rPr>
      </w:pPr>
    </w:p>
    <w:p w14:paraId="59E00D36" w14:textId="5103191C" w:rsidR="00C14BAB" w:rsidRPr="00BB48EE" w:rsidRDefault="00C14BAB" w:rsidP="00265F3F">
      <w:pPr>
        <w:spacing w:line="360" w:lineRule="auto"/>
        <w:jc w:val="both"/>
        <w:rPr>
          <w:rFonts w:ascii="Arial" w:eastAsia="Times New Roman" w:hAnsi="Arial"/>
          <w:sz w:val="19"/>
          <w:szCs w:val="19"/>
        </w:rPr>
      </w:pPr>
    </w:p>
    <w:p w14:paraId="7EE72F05" w14:textId="0603C995" w:rsidR="00E8365B" w:rsidRPr="00BB48EE" w:rsidRDefault="00E8365B" w:rsidP="00265F3F">
      <w:pPr>
        <w:spacing w:line="360" w:lineRule="auto"/>
        <w:jc w:val="both"/>
        <w:rPr>
          <w:rFonts w:ascii="Arial" w:eastAsia="Times New Roman" w:hAnsi="Arial"/>
          <w:sz w:val="19"/>
          <w:szCs w:val="19"/>
        </w:rPr>
      </w:pPr>
    </w:p>
    <w:p w14:paraId="5F3CABA8" w14:textId="359244F7" w:rsidR="00E8365B" w:rsidRPr="00BB48EE" w:rsidRDefault="00E8365B" w:rsidP="00265F3F">
      <w:pPr>
        <w:spacing w:line="360" w:lineRule="auto"/>
        <w:jc w:val="both"/>
        <w:rPr>
          <w:rFonts w:ascii="Arial" w:eastAsia="Times New Roman" w:hAnsi="Arial"/>
          <w:sz w:val="19"/>
          <w:szCs w:val="19"/>
        </w:rPr>
      </w:pPr>
    </w:p>
    <w:p w14:paraId="476C9803" w14:textId="2D9BCF0B" w:rsidR="00E8365B" w:rsidRPr="00BB48EE" w:rsidRDefault="00F254C5" w:rsidP="00265F3F">
      <w:pPr>
        <w:spacing w:line="360" w:lineRule="auto"/>
        <w:jc w:val="right"/>
        <w:rPr>
          <w:rFonts w:ascii="Arial" w:eastAsia="Times New Roman" w:hAnsi="Arial"/>
          <w:sz w:val="19"/>
          <w:szCs w:val="19"/>
        </w:rPr>
      </w:pPr>
      <w:r w:rsidRPr="00BB48EE">
        <w:rPr>
          <w:rFonts w:ascii="Arial" w:eastAsia="Times New Roman" w:hAnsi="Arial"/>
          <w:sz w:val="19"/>
          <w:szCs w:val="19"/>
        </w:rPr>
        <w:t>………………….</w:t>
      </w:r>
    </w:p>
    <w:sectPr w:rsidR="00E8365B" w:rsidRPr="00BB48EE" w:rsidSect="0089005A">
      <w:headerReference w:type="default" r:id="rId8"/>
      <w:headerReference w:type="first" r:id="rId9"/>
      <w:footerReference w:type="first" r:id="rId10"/>
      <w:pgSz w:w="11900" w:h="16840"/>
      <w:pgMar w:top="1440" w:right="1440" w:bottom="875" w:left="1440" w:header="0" w:footer="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B3C54" w14:textId="77777777" w:rsidR="008B15B5" w:rsidRDefault="008B15B5" w:rsidP="000408B0">
      <w:r>
        <w:separator/>
      </w:r>
    </w:p>
  </w:endnote>
  <w:endnote w:type="continuationSeparator" w:id="0">
    <w:p w14:paraId="7C4F47EA" w14:textId="77777777" w:rsidR="008B15B5" w:rsidRDefault="008B15B5" w:rsidP="0004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4DEC" w14:textId="087701A5" w:rsidR="00CA1BD9" w:rsidRPr="00C04CF5" w:rsidRDefault="00193C1E" w:rsidP="00F254C5">
    <w:pPr>
      <w:pStyle w:val="Stopka"/>
      <w:jc w:val="center"/>
      <w:rPr>
        <w:rFonts w:ascii="Century Gothic" w:hAnsi="Century Gothic"/>
        <w:i/>
        <w:iCs/>
        <w:sz w:val="16"/>
        <w:szCs w:val="16"/>
      </w:rPr>
    </w:pPr>
    <w:r>
      <w:t xml:space="preserve"> </w:t>
    </w:r>
    <w:bookmarkStart w:id="0" w:name="_Hlk124241253"/>
    <w:r w:rsidR="00CA1BD9">
      <w:rPr>
        <w:rFonts w:ascii="Century Gothic" w:hAnsi="Century Gothic"/>
        <w:i/>
        <w:iCs/>
        <w:sz w:val="16"/>
        <w:szCs w:val="16"/>
      </w:rPr>
      <w:br/>
    </w:r>
  </w:p>
  <w:bookmarkEnd w:id="0"/>
  <w:p w14:paraId="0EE05FE4" w14:textId="77777777" w:rsidR="00CA1BD9" w:rsidRDefault="00CA1BD9" w:rsidP="00CA1BD9">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C8838" w14:textId="77777777" w:rsidR="008B15B5" w:rsidRDefault="008B15B5" w:rsidP="000408B0">
      <w:r>
        <w:separator/>
      </w:r>
    </w:p>
  </w:footnote>
  <w:footnote w:type="continuationSeparator" w:id="0">
    <w:p w14:paraId="7A482489" w14:textId="77777777" w:rsidR="008B15B5" w:rsidRDefault="008B15B5" w:rsidP="0004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51CF" w14:textId="77777777" w:rsidR="000408B0" w:rsidRDefault="000408B0">
    <w:pPr>
      <w:pStyle w:val="Nagwek"/>
    </w:pPr>
  </w:p>
  <w:p w14:paraId="13FD52DC" w14:textId="77777777" w:rsidR="000408B0" w:rsidRDefault="000408B0">
    <w:pPr>
      <w:pStyle w:val="Nagwek"/>
    </w:pPr>
  </w:p>
  <w:p w14:paraId="78608188" w14:textId="77777777" w:rsidR="000408B0" w:rsidRDefault="000408B0">
    <w:pPr>
      <w:pStyle w:val="Nagwek"/>
    </w:pPr>
  </w:p>
  <w:p w14:paraId="295646C7" w14:textId="77777777" w:rsidR="000408B0" w:rsidRDefault="00FD2B8D" w:rsidP="00FD2B8D">
    <w:pPr>
      <w:pStyle w:val="Nagwek"/>
      <w:tabs>
        <w:tab w:val="clear" w:pos="4536"/>
        <w:tab w:val="clear" w:pos="9072"/>
        <w:tab w:val="left" w:pos="17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F771" w14:textId="0DF8080E" w:rsidR="000408B0" w:rsidRDefault="000408B0">
    <w:pPr>
      <w:pStyle w:val="Nagwek"/>
    </w:pPr>
  </w:p>
  <w:p w14:paraId="2843C390" w14:textId="77777777" w:rsidR="000408B0" w:rsidRDefault="000408B0">
    <w:pPr>
      <w:pStyle w:val="Nagwek"/>
    </w:pPr>
  </w:p>
  <w:p w14:paraId="4AB2224F" w14:textId="77777777" w:rsidR="000408B0" w:rsidRDefault="000408B0">
    <w:pPr>
      <w:pStyle w:val="Nagwek"/>
    </w:pPr>
  </w:p>
  <w:p w14:paraId="2EDB16FA" w14:textId="77777777" w:rsidR="000408B0" w:rsidRDefault="000408B0">
    <w:pPr>
      <w:pStyle w:val="Nagwek"/>
    </w:pPr>
  </w:p>
  <w:p w14:paraId="260D4C57" w14:textId="77777777" w:rsidR="000408B0" w:rsidRDefault="000408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148EF948">
      <w:start w:val="1"/>
      <w:numFmt w:val="decimal"/>
      <w:lvlText w:val="%1."/>
      <w:lvlJc w:val="left"/>
    </w:lvl>
    <w:lvl w:ilvl="1" w:tplc="EB9C5708">
      <w:start w:val="1"/>
      <w:numFmt w:val="bullet"/>
      <w:lvlText w:val=""/>
      <w:lvlJc w:val="left"/>
    </w:lvl>
    <w:lvl w:ilvl="2" w:tplc="26562E52">
      <w:start w:val="1"/>
      <w:numFmt w:val="bullet"/>
      <w:lvlText w:val=""/>
      <w:lvlJc w:val="left"/>
    </w:lvl>
    <w:lvl w:ilvl="3" w:tplc="5BB002A4">
      <w:start w:val="1"/>
      <w:numFmt w:val="bullet"/>
      <w:lvlText w:val=""/>
      <w:lvlJc w:val="left"/>
    </w:lvl>
    <w:lvl w:ilvl="4" w:tplc="A1BE5EE2">
      <w:start w:val="1"/>
      <w:numFmt w:val="bullet"/>
      <w:lvlText w:val=""/>
      <w:lvlJc w:val="left"/>
    </w:lvl>
    <w:lvl w:ilvl="5" w:tplc="7AB86AB4">
      <w:start w:val="1"/>
      <w:numFmt w:val="bullet"/>
      <w:lvlText w:val=""/>
      <w:lvlJc w:val="left"/>
    </w:lvl>
    <w:lvl w:ilvl="6" w:tplc="0B9494BC">
      <w:start w:val="1"/>
      <w:numFmt w:val="bullet"/>
      <w:lvlText w:val=""/>
      <w:lvlJc w:val="left"/>
    </w:lvl>
    <w:lvl w:ilvl="7" w:tplc="92E002EC">
      <w:start w:val="1"/>
      <w:numFmt w:val="bullet"/>
      <w:lvlText w:val=""/>
      <w:lvlJc w:val="left"/>
    </w:lvl>
    <w:lvl w:ilvl="8" w:tplc="5BB0DCCC">
      <w:start w:val="1"/>
      <w:numFmt w:val="bullet"/>
      <w:lvlText w:val=""/>
      <w:lvlJc w:val="left"/>
    </w:lvl>
  </w:abstractNum>
  <w:abstractNum w:abstractNumId="1" w15:restartNumberingAfterBreak="0">
    <w:nsid w:val="00000002"/>
    <w:multiLevelType w:val="hybridMultilevel"/>
    <w:tmpl w:val="66334872"/>
    <w:lvl w:ilvl="0" w:tplc="ED9049D4">
      <w:start w:val="1"/>
      <w:numFmt w:val="bullet"/>
      <w:lvlText w:val="w"/>
      <w:lvlJc w:val="left"/>
    </w:lvl>
    <w:lvl w:ilvl="1" w:tplc="D8B2AB26">
      <w:start w:val="1"/>
      <w:numFmt w:val="bullet"/>
      <w:lvlText w:val="•"/>
      <w:lvlJc w:val="left"/>
    </w:lvl>
    <w:lvl w:ilvl="2" w:tplc="77A6993E">
      <w:start w:val="1"/>
      <w:numFmt w:val="bullet"/>
      <w:lvlText w:val="•"/>
      <w:lvlJc w:val="left"/>
    </w:lvl>
    <w:lvl w:ilvl="3" w:tplc="4822C8E4">
      <w:start w:val="1"/>
      <w:numFmt w:val="bullet"/>
      <w:lvlText w:val=""/>
      <w:lvlJc w:val="left"/>
    </w:lvl>
    <w:lvl w:ilvl="4" w:tplc="780E49CC">
      <w:start w:val="1"/>
      <w:numFmt w:val="bullet"/>
      <w:lvlText w:val=""/>
      <w:lvlJc w:val="left"/>
    </w:lvl>
    <w:lvl w:ilvl="5" w:tplc="8D6E4D48">
      <w:start w:val="1"/>
      <w:numFmt w:val="bullet"/>
      <w:lvlText w:val=""/>
      <w:lvlJc w:val="left"/>
    </w:lvl>
    <w:lvl w:ilvl="6" w:tplc="1D746AEC">
      <w:start w:val="1"/>
      <w:numFmt w:val="bullet"/>
      <w:lvlText w:val=""/>
      <w:lvlJc w:val="left"/>
    </w:lvl>
    <w:lvl w:ilvl="7" w:tplc="5C56E84E">
      <w:start w:val="1"/>
      <w:numFmt w:val="bullet"/>
      <w:lvlText w:val=""/>
      <w:lvlJc w:val="left"/>
    </w:lvl>
    <w:lvl w:ilvl="8" w:tplc="8EB41CEA">
      <w:start w:val="1"/>
      <w:numFmt w:val="bullet"/>
      <w:lvlText w:val=""/>
      <w:lvlJc w:val="left"/>
    </w:lvl>
  </w:abstractNum>
  <w:abstractNum w:abstractNumId="2" w15:restartNumberingAfterBreak="0">
    <w:nsid w:val="0450268F"/>
    <w:multiLevelType w:val="hybridMultilevel"/>
    <w:tmpl w:val="4532F814"/>
    <w:lvl w:ilvl="0" w:tplc="B08A4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A66A2"/>
    <w:multiLevelType w:val="hybridMultilevel"/>
    <w:tmpl w:val="F9F6D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01C7A"/>
    <w:multiLevelType w:val="hybridMultilevel"/>
    <w:tmpl w:val="86F26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A1A10"/>
    <w:multiLevelType w:val="hybridMultilevel"/>
    <w:tmpl w:val="4532F814"/>
    <w:lvl w:ilvl="0" w:tplc="B08A4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46262"/>
    <w:multiLevelType w:val="hybridMultilevel"/>
    <w:tmpl w:val="FEA21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830B0"/>
    <w:multiLevelType w:val="hybridMultilevel"/>
    <w:tmpl w:val="7DE2D004"/>
    <w:lvl w:ilvl="0" w:tplc="086436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24B2A"/>
    <w:multiLevelType w:val="hybridMultilevel"/>
    <w:tmpl w:val="F9F6DD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49193E"/>
    <w:multiLevelType w:val="hybridMultilevel"/>
    <w:tmpl w:val="41024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DA3593"/>
    <w:multiLevelType w:val="multilevel"/>
    <w:tmpl w:val="FA6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24C76"/>
    <w:multiLevelType w:val="hybridMultilevel"/>
    <w:tmpl w:val="86F26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330AA5"/>
    <w:multiLevelType w:val="hybridMultilevel"/>
    <w:tmpl w:val="07E4FE3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FF2342C"/>
    <w:multiLevelType w:val="hybridMultilevel"/>
    <w:tmpl w:val="86F26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253C39"/>
    <w:multiLevelType w:val="hybridMultilevel"/>
    <w:tmpl w:val="2996E81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55E03C83"/>
    <w:multiLevelType w:val="hybridMultilevel"/>
    <w:tmpl w:val="0EE4B882"/>
    <w:lvl w:ilvl="0" w:tplc="F778570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61A6241"/>
    <w:multiLevelType w:val="hybridMultilevel"/>
    <w:tmpl w:val="7ED2D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E9793E"/>
    <w:multiLevelType w:val="hybridMultilevel"/>
    <w:tmpl w:val="908CEB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335A3B"/>
    <w:multiLevelType w:val="hybridMultilevel"/>
    <w:tmpl w:val="14348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E301D2"/>
    <w:multiLevelType w:val="hybridMultilevel"/>
    <w:tmpl w:val="E8B285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28D7477"/>
    <w:multiLevelType w:val="hybridMultilevel"/>
    <w:tmpl w:val="F9F6DD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1679EA"/>
    <w:multiLevelType w:val="hybridMultilevel"/>
    <w:tmpl w:val="A1BC3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C07726D"/>
    <w:multiLevelType w:val="hybridMultilevel"/>
    <w:tmpl w:val="9D7C3910"/>
    <w:lvl w:ilvl="0" w:tplc="5216804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678801098">
    <w:abstractNumId w:val="0"/>
  </w:num>
  <w:num w:numId="2" w16cid:durableId="438843742">
    <w:abstractNumId w:val="1"/>
  </w:num>
  <w:num w:numId="3" w16cid:durableId="1955936099">
    <w:abstractNumId w:val="4"/>
  </w:num>
  <w:num w:numId="4" w16cid:durableId="250551662">
    <w:abstractNumId w:val="11"/>
  </w:num>
  <w:num w:numId="5" w16cid:durableId="1925645145">
    <w:abstractNumId w:val="10"/>
  </w:num>
  <w:num w:numId="6" w16cid:durableId="943073744">
    <w:abstractNumId w:val="14"/>
  </w:num>
  <w:num w:numId="7" w16cid:durableId="1224026612">
    <w:abstractNumId w:val="13"/>
  </w:num>
  <w:num w:numId="8" w16cid:durableId="223763180">
    <w:abstractNumId w:val="9"/>
  </w:num>
  <w:num w:numId="9" w16cid:durableId="4949986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604287">
    <w:abstractNumId w:val="16"/>
  </w:num>
  <w:num w:numId="11" w16cid:durableId="1155797220">
    <w:abstractNumId w:val="12"/>
  </w:num>
  <w:num w:numId="12" w16cid:durableId="670839714">
    <w:abstractNumId w:val="19"/>
  </w:num>
  <w:num w:numId="13" w16cid:durableId="1056392540">
    <w:abstractNumId w:val="22"/>
  </w:num>
  <w:num w:numId="14" w16cid:durableId="646472732">
    <w:abstractNumId w:val="7"/>
  </w:num>
  <w:num w:numId="15" w16cid:durableId="1609317350">
    <w:abstractNumId w:val="6"/>
  </w:num>
  <w:num w:numId="16" w16cid:durableId="1411997108">
    <w:abstractNumId w:val="5"/>
  </w:num>
  <w:num w:numId="17" w16cid:durableId="1806854027">
    <w:abstractNumId w:val="21"/>
  </w:num>
  <w:num w:numId="18" w16cid:durableId="1219393990">
    <w:abstractNumId w:val="2"/>
  </w:num>
  <w:num w:numId="19" w16cid:durableId="865170483">
    <w:abstractNumId w:val="18"/>
  </w:num>
  <w:num w:numId="20" w16cid:durableId="1250961562">
    <w:abstractNumId w:val="17"/>
  </w:num>
  <w:num w:numId="21" w16cid:durableId="227419287">
    <w:abstractNumId w:val="3"/>
  </w:num>
  <w:num w:numId="22" w16cid:durableId="1318529401">
    <w:abstractNumId w:val="8"/>
  </w:num>
  <w:num w:numId="23" w16cid:durableId="11147850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FB"/>
    <w:rsid w:val="00034231"/>
    <w:rsid w:val="000408B0"/>
    <w:rsid w:val="000718D8"/>
    <w:rsid w:val="00084C35"/>
    <w:rsid w:val="000B35C0"/>
    <w:rsid w:val="000C48BE"/>
    <w:rsid w:val="000D6644"/>
    <w:rsid w:val="000E3EC0"/>
    <w:rsid w:val="000F1951"/>
    <w:rsid w:val="00134763"/>
    <w:rsid w:val="001423E1"/>
    <w:rsid w:val="001502A7"/>
    <w:rsid w:val="001528F1"/>
    <w:rsid w:val="00162352"/>
    <w:rsid w:val="00193C1E"/>
    <w:rsid w:val="001A69C9"/>
    <w:rsid w:val="001D2C79"/>
    <w:rsid w:val="001E7B9F"/>
    <w:rsid w:val="001F6CA2"/>
    <w:rsid w:val="002317E6"/>
    <w:rsid w:val="0025338D"/>
    <w:rsid w:val="00255B02"/>
    <w:rsid w:val="00256B54"/>
    <w:rsid w:val="002625BA"/>
    <w:rsid w:val="00265F3F"/>
    <w:rsid w:val="002756CE"/>
    <w:rsid w:val="00283049"/>
    <w:rsid w:val="00286BE4"/>
    <w:rsid w:val="00292B83"/>
    <w:rsid w:val="002A0353"/>
    <w:rsid w:val="002A0D8A"/>
    <w:rsid w:val="002A7F95"/>
    <w:rsid w:val="002E36AA"/>
    <w:rsid w:val="002E6F5E"/>
    <w:rsid w:val="002F2D92"/>
    <w:rsid w:val="003023B5"/>
    <w:rsid w:val="00302A1D"/>
    <w:rsid w:val="00303BC6"/>
    <w:rsid w:val="00312819"/>
    <w:rsid w:val="0033439D"/>
    <w:rsid w:val="00347FF6"/>
    <w:rsid w:val="0037020E"/>
    <w:rsid w:val="00383996"/>
    <w:rsid w:val="003879F4"/>
    <w:rsid w:val="00390DC7"/>
    <w:rsid w:val="003B1E34"/>
    <w:rsid w:val="003D10AF"/>
    <w:rsid w:val="003D4E1C"/>
    <w:rsid w:val="003D54D4"/>
    <w:rsid w:val="003E42A7"/>
    <w:rsid w:val="003E433C"/>
    <w:rsid w:val="003F2CA0"/>
    <w:rsid w:val="003F4550"/>
    <w:rsid w:val="004068BE"/>
    <w:rsid w:val="0041444E"/>
    <w:rsid w:val="00423B30"/>
    <w:rsid w:val="004376C3"/>
    <w:rsid w:val="0044259C"/>
    <w:rsid w:val="00444396"/>
    <w:rsid w:val="0044756D"/>
    <w:rsid w:val="004608B7"/>
    <w:rsid w:val="004714C1"/>
    <w:rsid w:val="00490ED1"/>
    <w:rsid w:val="00494BDC"/>
    <w:rsid w:val="004B0704"/>
    <w:rsid w:val="004C2B35"/>
    <w:rsid w:val="004D0346"/>
    <w:rsid w:val="004D0D69"/>
    <w:rsid w:val="00507D01"/>
    <w:rsid w:val="00510A88"/>
    <w:rsid w:val="0051391E"/>
    <w:rsid w:val="005242D3"/>
    <w:rsid w:val="005301A4"/>
    <w:rsid w:val="00531227"/>
    <w:rsid w:val="00535279"/>
    <w:rsid w:val="00563790"/>
    <w:rsid w:val="005C10F2"/>
    <w:rsid w:val="005E7439"/>
    <w:rsid w:val="005F2A64"/>
    <w:rsid w:val="005F2F4D"/>
    <w:rsid w:val="005F3342"/>
    <w:rsid w:val="006145A8"/>
    <w:rsid w:val="00623947"/>
    <w:rsid w:val="00623CF5"/>
    <w:rsid w:val="00624A86"/>
    <w:rsid w:val="00650039"/>
    <w:rsid w:val="00681672"/>
    <w:rsid w:val="006B02C2"/>
    <w:rsid w:val="006B68E5"/>
    <w:rsid w:val="006D06D5"/>
    <w:rsid w:val="006E30F4"/>
    <w:rsid w:val="006F34AB"/>
    <w:rsid w:val="006F5EED"/>
    <w:rsid w:val="00734C72"/>
    <w:rsid w:val="00752769"/>
    <w:rsid w:val="0076772F"/>
    <w:rsid w:val="007701E2"/>
    <w:rsid w:val="007703D7"/>
    <w:rsid w:val="00771F31"/>
    <w:rsid w:val="007838DB"/>
    <w:rsid w:val="007868D6"/>
    <w:rsid w:val="00797869"/>
    <w:rsid w:val="007A7929"/>
    <w:rsid w:val="007C53E4"/>
    <w:rsid w:val="007C5D1F"/>
    <w:rsid w:val="007D1E6D"/>
    <w:rsid w:val="007E74B6"/>
    <w:rsid w:val="007F572B"/>
    <w:rsid w:val="00807F06"/>
    <w:rsid w:val="0081402A"/>
    <w:rsid w:val="00815751"/>
    <w:rsid w:val="008235C1"/>
    <w:rsid w:val="00837BED"/>
    <w:rsid w:val="00845AC8"/>
    <w:rsid w:val="00863C2B"/>
    <w:rsid w:val="0089005A"/>
    <w:rsid w:val="008903BC"/>
    <w:rsid w:val="00893B79"/>
    <w:rsid w:val="008B15B5"/>
    <w:rsid w:val="008B354C"/>
    <w:rsid w:val="008B5707"/>
    <w:rsid w:val="008C1FB2"/>
    <w:rsid w:val="008E6342"/>
    <w:rsid w:val="0090331B"/>
    <w:rsid w:val="00903EF8"/>
    <w:rsid w:val="00905A79"/>
    <w:rsid w:val="0091439C"/>
    <w:rsid w:val="00916DCF"/>
    <w:rsid w:val="009465C4"/>
    <w:rsid w:val="00952731"/>
    <w:rsid w:val="0096645F"/>
    <w:rsid w:val="009B6DD8"/>
    <w:rsid w:val="009C4C78"/>
    <w:rsid w:val="009F0119"/>
    <w:rsid w:val="00A1371A"/>
    <w:rsid w:val="00A4565E"/>
    <w:rsid w:val="00A55D34"/>
    <w:rsid w:val="00A70315"/>
    <w:rsid w:val="00A70E2C"/>
    <w:rsid w:val="00A716DD"/>
    <w:rsid w:val="00A84089"/>
    <w:rsid w:val="00A943E0"/>
    <w:rsid w:val="00AA0F24"/>
    <w:rsid w:val="00AE2674"/>
    <w:rsid w:val="00AF7727"/>
    <w:rsid w:val="00B02AAC"/>
    <w:rsid w:val="00B121FB"/>
    <w:rsid w:val="00B334F5"/>
    <w:rsid w:val="00B73B11"/>
    <w:rsid w:val="00B73EDA"/>
    <w:rsid w:val="00BB48EE"/>
    <w:rsid w:val="00BD63F6"/>
    <w:rsid w:val="00BE39BC"/>
    <w:rsid w:val="00BF3B9E"/>
    <w:rsid w:val="00C14BAB"/>
    <w:rsid w:val="00C44CF8"/>
    <w:rsid w:val="00C502BD"/>
    <w:rsid w:val="00C608F2"/>
    <w:rsid w:val="00C81758"/>
    <w:rsid w:val="00C874E7"/>
    <w:rsid w:val="00CA1BD9"/>
    <w:rsid w:val="00CB606A"/>
    <w:rsid w:val="00CB6CB5"/>
    <w:rsid w:val="00CD0F7A"/>
    <w:rsid w:val="00D06A3B"/>
    <w:rsid w:val="00D14783"/>
    <w:rsid w:val="00D1546A"/>
    <w:rsid w:val="00D252AB"/>
    <w:rsid w:val="00D33D4F"/>
    <w:rsid w:val="00D516AB"/>
    <w:rsid w:val="00D670B2"/>
    <w:rsid w:val="00D77C7F"/>
    <w:rsid w:val="00D81199"/>
    <w:rsid w:val="00D8245C"/>
    <w:rsid w:val="00D83E38"/>
    <w:rsid w:val="00D85681"/>
    <w:rsid w:val="00D91DFA"/>
    <w:rsid w:val="00DA275E"/>
    <w:rsid w:val="00DA3F57"/>
    <w:rsid w:val="00DA48BF"/>
    <w:rsid w:val="00DB286C"/>
    <w:rsid w:val="00DF0879"/>
    <w:rsid w:val="00E22B40"/>
    <w:rsid w:val="00E30A6C"/>
    <w:rsid w:val="00E31A52"/>
    <w:rsid w:val="00E34875"/>
    <w:rsid w:val="00E352FF"/>
    <w:rsid w:val="00E403DE"/>
    <w:rsid w:val="00E62B52"/>
    <w:rsid w:val="00E721E1"/>
    <w:rsid w:val="00E8365B"/>
    <w:rsid w:val="00E91CE9"/>
    <w:rsid w:val="00E92877"/>
    <w:rsid w:val="00E93CD3"/>
    <w:rsid w:val="00EB0FEB"/>
    <w:rsid w:val="00EB3E9C"/>
    <w:rsid w:val="00EC025C"/>
    <w:rsid w:val="00ED510C"/>
    <w:rsid w:val="00EF7BB6"/>
    <w:rsid w:val="00F052A9"/>
    <w:rsid w:val="00F254C5"/>
    <w:rsid w:val="00F545C3"/>
    <w:rsid w:val="00F66AA6"/>
    <w:rsid w:val="00F94401"/>
    <w:rsid w:val="00FA409F"/>
    <w:rsid w:val="00FB7057"/>
    <w:rsid w:val="00FD2B8D"/>
    <w:rsid w:val="00FD623F"/>
    <w:rsid w:val="00FD6C78"/>
    <w:rsid w:val="00FE6EC8"/>
    <w:rsid w:val="00FF0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D8A5D"/>
  <w15:chartTrackingRefBased/>
  <w15:docId w15:val="{9B14B679-A509-40F4-A4A3-379D02E6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B121FB"/>
    <w:rPr>
      <w:color w:val="0563C1"/>
      <w:u w:val="single"/>
    </w:rPr>
  </w:style>
  <w:style w:type="paragraph" w:styleId="NormalnyWeb">
    <w:name w:val="Normal (Web)"/>
    <w:basedOn w:val="Normalny"/>
    <w:uiPriority w:val="99"/>
    <w:semiHidden/>
    <w:unhideWhenUsed/>
    <w:rsid w:val="00B121FB"/>
    <w:pPr>
      <w:spacing w:before="100" w:beforeAutospacing="1" w:after="100" w:afterAutospacing="1"/>
    </w:pPr>
    <w:rPr>
      <w:rFonts w:ascii="Times New Roman" w:eastAsia="Times New Roman" w:hAnsi="Times New Roman" w:cs="Times New Roman"/>
      <w:sz w:val="24"/>
      <w:szCs w:val="24"/>
    </w:rPr>
  </w:style>
  <w:style w:type="character" w:styleId="Pogrubienie">
    <w:name w:val="Strong"/>
    <w:uiPriority w:val="22"/>
    <w:qFormat/>
    <w:rsid w:val="00B121FB"/>
    <w:rPr>
      <w:b/>
      <w:bCs/>
    </w:rPr>
  </w:style>
  <w:style w:type="paragraph" w:styleId="Nagwek">
    <w:name w:val="header"/>
    <w:basedOn w:val="Normalny"/>
    <w:link w:val="NagwekZnak"/>
    <w:uiPriority w:val="99"/>
    <w:unhideWhenUsed/>
    <w:rsid w:val="000408B0"/>
    <w:pPr>
      <w:tabs>
        <w:tab w:val="center" w:pos="4536"/>
        <w:tab w:val="right" w:pos="9072"/>
      </w:tabs>
    </w:pPr>
  </w:style>
  <w:style w:type="character" w:customStyle="1" w:styleId="NagwekZnak">
    <w:name w:val="Nagłówek Znak"/>
    <w:basedOn w:val="Domylnaczcionkaakapitu"/>
    <w:link w:val="Nagwek"/>
    <w:uiPriority w:val="99"/>
    <w:rsid w:val="000408B0"/>
  </w:style>
  <w:style w:type="paragraph" w:styleId="Stopka">
    <w:name w:val="footer"/>
    <w:basedOn w:val="Normalny"/>
    <w:link w:val="StopkaZnak"/>
    <w:uiPriority w:val="99"/>
    <w:unhideWhenUsed/>
    <w:rsid w:val="000408B0"/>
    <w:pPr>
      <w:tabs>
        <w:tab w:val="center" w:pos="4536"/>
        <w:tab w:val="right" w:pos="9072"/>
      </w:tabs>
    </w:pPr>
  </w:style>
  <w:style w:type="character" w:customStyle="1" w:styleId="StopkaZnak">
    <w:name w:val="Stopka Znak"/>
    <w:basedOn w:val="Domylnaczcionkaakapitu"/>
    <w:link w:val="Stopka"/>
    <w:uiPriority w:val="99"/>
    <w:rsid w:val="000408B0"/>
  </w:style>
  <w:style w:type="paragraph" w:styleId="Tekstprzypisukocowego">
    <w:name w:val="endnote text"/>
    <w:basedOn w:val="Normalny"/>
    <w:link w:val="TekstprzypisukocowegoZnak"/>
    <w:uiPriority w:val="99"/>
    <w:semiHidden/>
    <w:unhideWhenUsed/>
    <w:rsid w:val="0044756D"/>
  </w:style>
  <w:style w:type="character" w:customStyle="1" w:styleId="TekstprzypisukocowegoZnak">
    <w:name w:val="Tekst przypisu końcowego Znak"/>
    <w:basedOn w:val="Domylnaczcionkaakapitu"/>
    <w:link w:val="Tekstprzypisukocowego"/>
    <w:uiPriority w:val="99"/>
    <w:semiHidden/>
    <w:rsid w:val="0044756D"/>
  </w:style>
  <w:style w:type="character" w:styleId="Odwoanieprzypisukocowego">
    <w:name w:val="endnote reference"/>
    <w:uiPriority w:val="99"/>
    <w:semiHidden/>
    <w:unhideWhenUsed/>
    <w:rsid w:val="0044756D"/>
    <w:rPr>
      <w:vertAlign w:val="superscript"/>
    </w:rPr>
  </w:style>
  <w:style w:type="paragraph" w:styleId="Akapitzlist">
    <w:name w:val="List Paragraph"/>
    <w:basedOn w:val="Normalny"/>
    <w:uiPriority w:val="34"/>
    <w:qFormat/>
    <w:rsid w:val="00507D01"/>
    <w:pPr>
      <w:spacing w:after="200" w:line="276" w:lineRule="auto"/>
      <w:ind w:left="720"/>
      <w:contextualSpacing/>
    </w:pPr>
    <w:rPr>
      <w:rFonts w:asciiTheme="minorHAnsi" w:eastAsiaTheme="minorHAnsi" w:hAnsiTheme="minorHAnsi" w:cstheme="minorBidi"/>
      <w:sz w:val="22"/>
      <w:szCs w:val="22"/>
      <w:lang w:eastAsia="en-US"/>
    </w:rPr>
  </w:style>
  <w:style w:type="character" w:styleId="Nierozpoznanawzmianka">
    <w:name w:val="Unresolved Mention"/>
    <w:basedOn w:val="Domylnaczcionkaakapitu"/>
    <w:uiPriority w:val="99"/>
    <w:semiHidden/>
    <w:unhideWhenUsed/>
    <w:rsid w:val="00B73EDA"/>
    <w:rPr>
      <w:color w:val="605E5C"/>
      <w:shd w:val="clear" w:color="auto" w:fill="E1DFDD"/>
    </w:rPr>
  </w:style>
  <w:style w:type="paragraph" w:styleId="Tekstdymka">
    <w:name w:val="Balloon Text"/>
    <w:basedOn w:val="Normalny"/>
    <w:link w:val="TekstdymkaZnak"/>
    <w:uiPriority w:val="99"/>
    <w:semiHidden/>
    <w:unhideWhenUsed/>
    <w:rsid w:val="00AA0F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144852">
      <w:bodyDiv w:val="1"/>
      <w:marLeft w:val="0"/>
      <w:marRight w:val="0"/>
      <w:marTop w:val="0"/>
      <w:marBottom w:val="0"/>
      <w:divBdr>
        <w:top w:val="none" w:sz="0" w:space="0" w:color="auto"/>
        <w:left w:val="none" w:sz="0" w:space="0" w:color="auto"/>
        <w:bottom w:val="none" w:sz="0" w:space="0" w:color="auto"/>
        <w:right w:val="none" w:sz="0" w:space="0" w:color="auto"/>
      </w:divBdr>
    </w:div>
    <w:div w:id="723212710">
      <w:bodyDiv w:val="1"/>
      <w:marLeft w:val="0"/>
      <w:marRight w:val="0"/>
      <w:marTop w:val="0"/>
      <w:marBottom w:val="0"/>
      <w:divBdr>
        <w:top w:val="none" w:sz="0" w:space="0" w:color="auto"/>
        <w:left w:val="none" w:sz="0" w:space="0" w:color="auto"/>
        <w:bottom w:val="none" w:sz="0" w:space="0" w:color="auto"/>
        <w:right w:val="none" w:sz="0" w:space="0" w:color="auto"/>
      </w:divBdr>
    </w:div>
    <w:div w:id="1014070331">
      <w:bodyDiv w:val="1"/>
      <w:marLeft w:val="0"/>
      <w:marRight w:val="0"/>
      <w:marTop w:val="0"/>
      <w:marBottom w:val="0"/>
      <w:divBdr>
        <w:top w:val="none" w:sz="0" w:space="0" w:color="auto"/>
        <w:left w:val="none" w:sz="0" w:space="0" w:color="auto"/>
        <w:bottom w:val="none" w:sz="0" w:space="0" w:color="auto"/>
        <w:right w:val="none" w:sz="0" w:space="0" w:color="auto"/>
      </w:divBdr>
    </w:div>
    <w:div w:id="2094007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9695B-EA29-488A-A06E-675113A2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2825</Words>
  <Characters>16955</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Filip</cp:lastModifiedBy>
  <cp:revision>44</cp:revision>
  <cp:lastPrinted>2021-08-05T09:26:00Z</cp:lastPrinted>
  <dcterms:created xsi:type="dcterms:W3CDTF">2022-12-22T11:32:00Z</dcterms:created>
  <dcterms:modified xsi:type="dcterms:W3CDTF">2024-11-02T14:46:00Z</dcterms:modified>
</cp:coreProperties>
</file>